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01A" w:rsidRDefault="005B7A09">
      <w:pPr>
        <w:spacing w:before="200" w:after="1000" w:line="560" w:lineRule="exact"/>
        <w:jc w:val="center"/>
        <w:rPr>
          <w:rFonts w:ascii="宋体" w:eastAsia="宋体" w:hAnsi="宋体" w:cs="宋体"/>
          <w:sz w:val="18"/>
          <w:szCs w:val="18"/>
        </w:rPr>
      </w:pPr>
      <w:r>
        <w:rPr>
          <w:rFonts w:ascii="宋体" w:eastAsia="宋体" w:hAnsi="宋体" w:cs="宋体"/>
          <w:sz w:val="18"/>
          <w:szCs w:val="18"/>
        </w:rPr>
        <w:t>证券代码：301028                证券简称：东亚机械                公告编号：2023-003</w:t>
      </w:r>
    </w:p>
    <w:p w:rsidR="0041001A" w:rsidRDefault="005B7A09">
      <w:pPr>
        <w:spacing w:after="1000" w:line="400" w:lineRule="exact"/>
        <w:jc w:val="center"/>
        <w:rPr>
          <w:rFonts w:ascii="宋体" w:eastAsia="宋体" w:hAnsi="宋体" w:cs="宋体"/>
          <w:b/>
          <w:bCs/>
          <w:sz w:val="36"/>
          <w:szCs w:val="36"/>
        </w:rPr>
      </w:pPr>
      <w:r>
        <w:rPr>
          <w:rFonts w:ascii="宋体" w:eastAsia="宋体" w:hAnsi="宋体" w:cs="宋体"/>
          <w:b/>
          <w:bCs/>
          <w:sz w:val="36"/>
          <w:szCs w:val="36"/>
        </w:rPr>
        <w:t>厦门东亚机械工业股份有限公司2022年年度报告摘要</w:t>
      </w:r>
    </w:p>
    <w:p w:rsidR="0041001A" w:rsidRDefault="005B7A09" w:rsidP="00E0697C">
      <w:pPr>
        <w:rPr>
          <w:rFonts w:ascii="宋体" w:eastAsia="宋体" w:hAnsi="宋体" w:cs="宋体"/>
          <w:b/>
          <w:bCs/>
          <w:sz w:val="24"/>
          <w:szCs w:val="24"/>
        </w:rPr>
      </w:pPr>
      <w:bookmarkStart w:id="0" w:name="_Toc988889"/>
      <w:r>
        <w:rPr>
          <w:rFonts w:ascii="宋体" w:eastAsia="宋体" w:hAnsi="宋体" w:cs="宋体"/>
          <w:b/>
          <w:bCs/>
          <w:sz w:val="24"/>
          <w:szCs w:val="24"/>
        </w:rPr>
        <w:t>一、重要提示</w:t>
      </w:r>
      <w:bookmarkEnd w:id="0"/>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本年度报告摘要来自年度报告全文，为全面了解本公司的经营成果、财务状况及未来发展规划，投资者应当到证监会指定媒体仔细阅读年度报告全文。</w:t>
      </w: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所有董事均已出席了审议本报告的董事会会议。</w:t>
      </w: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容诚会计师事务所（特殊普通合伙）对本年度公司财务报告的审计意见为：标准的无保留意见。</w:t>
      </w: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本报告期会计师事务所变更情况：</w:t>
      </w:r>
      <w:r w:rsidR="00BB5515">
        <w:rPr>
          <w:rFonts w:ascii="宋体" w:eastAsia="宋体" w:hAnsi="宋体" w:cs="宋体"/>
          <w:sz w:val="18"/>
          <w:szCs w:val="18"/>
        </w:rPr>
        <w:t>公司本年度会计师事务所为容诚会计师事务所（特殊普通合伙）</w:t>
      </w:r>
      <w:r w:rsidR="00BB5515">
        <w:rPr>
          <w:rFonts w:ascii="宋体" w:hAnsi="宋体" w:cs="宋体" w:hint="eastAsia"/>
          <w:sz w:val="18"/>
          <w:szCs w:val="18"/>
        </w:rPr>
        <w:t>，未发生变更</w:t>
      </w:r>
      <w:r>
        <w:rPr>
          <w:rFonts w:ascii="宋体" w:eastAsia="宋体" w:hAnsi="宋体" w:cs="宋体"/>
          <w:sz w:val="18"/>
          <w:szCs w:val="18"/>
        </w:rPr>
        <w:t>。</w:t>
      </w: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非标准审计意见提示</w:t>
      </w: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公司上市时未盈利且目前未实现盈利</w:t>
      </w: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董事会审议的报告期利润分配预案或公积金转增股本预案</w:t>
      </w: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适用 □不适用</w:t>
      </w: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公司经本次董事会审议通过的利润分配预案为：以378,912,000股为基数，向全体股东每10股派发现金红利1.5元（含税），送红股0股（含税），以资本公积金向全体股东每10股转增0股。</w:t>
      </w: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董事会决议通过的本报告期优先股利润分配预案</w:t>
      </w: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 xml:space="preserve">□适用 </w:t>
      </w:r>
      <w:r w:rsidR="00BB5515">
        <w:rPr>
          <w:rFonts w:ascii="宋体" w:eastAsia="宋体" w:hAnsi="宋体" w:cs="宋体"/>
          <w:sz w:val="18"/>
          <w:szCs w:val="18"/>
        </w:rPr>
        <w:sym w:font="Wingdings 2" w:char="F052"/>
      </w:r>
      <w:r>
        <w:rPr>
          <w:rFonts w:ascii="宋体" w:eastAsia="宋体" w:hAnsi="宋体" w:cs="宋体"/>
          <w:sz w:val="18"/>
          <w:szCs w:val="18"/>
        </w:rPr>
        <w:t>不适用</w:t>
      </w:r>
    </w:p>
    <w:p w:rsidR="0041001A" w:rsidRDefault="005B7A09">
      <w:pPr>
        <w:pStyle w:val="2"/>
        <w:spacing w:before="300" w:after="300" w:line="320" w:lineRule="exact"/>
        <w:rPr>
          <w:rFonts w:ascii="宋体" w:eastAsia="宋体" w:hAnsi="宋体" w:cs="宋体"/>
          <w:b/>
          <w:bCs/>
          <w:sz w:val="24"/>
          <w:szCs w:val="24"/>
        </w:rPr>
      </w:pPr>
      <w:bookmarkStart w:id="1" w:name="_Toc988890"/>
      <w:r>
        <w:rPr>
          <w:rFonts w:ascii="宋体" w:eastAsia="宋体" w:hAnsi="宋体" w:cs="宋体"/>
          <w:b/>
          <w:bCs/>
          <w:sz w:val="24"/>
          <w:szCs w:val="24"/>
        </w:rPr>
        <w:t>二、公司基本情况</w:t>
      </w:r>
      <w:bookmarkEnd w:id="1"/>
      <w:r w:rsidR="00BB5515">
        <w:rPr>
          <w:rFonts w:ascii="宋体" w:eastAsia="宋体" w:hAnsi="宋体" w:cs="宋体"/>
          <w:sz w:val="18"/>
          <w:szCs w:val="18"/>
        </w:rPr>
        <w:sym w:font="Wingdings 2" w:char="F052"/>
      </w:r>
    </w:p>
    <w:p w:rsidR="0041001A" w:rsidRDefault="005B7A09">
      <w:pPr>
        <w:pStyle w:val="3"/>
        <w:spacing w:line="280" w:lineRule="exact"/>
        <w:jc w:val="left"/>
        <w:rPr>
          <w:rFonts w:ascii="宋体" w:hAnsi="宋体" w:cs="宋体"/>
          <w:b/>
          <w:bCs/>
        </w:rPr>
      </w:pPr>
      <w:bookmarkStart w:id="2" w:name="_Toc988891"/>
      <w:r>
        <w:rPr>
          <w:rFonts w:ascii="宋体" w:hAnsi="宋体" w:cs="宋体"/>
          <w:b/>
          <w:bCs/>
        </w:rPr>
        <w:t>1、公司简介</w:t>
      </w:r>
      <w:bookmarkEnd w:id="2"/>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199"/>
        <w:gridCol w:w="1480"/>
        <w:gridCol w:w="740"/>
        <w:gridCol w:w="740"/>
        <w:gridCol w:w="1480"/>
      </w:tblGrid>
      <w:tr w:rsidR="0041001A">
        <w:trPr>
          <w:trHeight w:val="240"/>
        </w:trPr>
        <w:tc>
          <w:tcPr>
            <w:tcW w:w="5200"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股票简称</w:t>
            </w:r>
          </w:p>
        </w:tc>
        <w:tc>
          <w:tcPr>
            <w:tcW w:w="1480"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东亚机械</w:t>
            </w:r>
          </w:p>
        </w:tc>
        <w:tc>
          <w:tcPr>
            <w:tcW w:w="1480"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股票代码</w:t>
            </w:r>
          </w:p>
        </w:tc>
        <w:tc>
          <w:tcPr>
            <w:tcW w:w="1480"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301028</w:t>
            </w:r>
          </w:p>
        </w:tc>
      </w:tr>
      <w:tr w:rsidR="0041001A">
        <w:trPr>
          <w:trHeight w:val="240"/>
        </w:trPr>
        <w:tc>
          <w:tcPr>
            <w:tcW w:w="5200"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股票上市交易所</w:t>
            </w:r>
          </w:p>
        </w:tc>
        <w:tc>
          <w:tcPr>
            <w:tcW w:w="4439" w:type="dxa"/>
            <w:gridSpan w:val="4"/>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深圳证券交易所</w:t>
            </w:r>
          </w:p>
        </w:tc>
      </w:tr>
      <w:tr w:rsidR="0041001A">
        <w:trPr>
          <w:trHeight w:val="240"/>
        </w:trPr>
        <w:tc>
          <w:tcPr>
            <w:tcW w:w="5200"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联系人和联系方式</w:t>
            </w:r>
          </w:p>
        </w:tc>
        <w:tc>
          <w:tcPr>
            <w:tcW w:w="2220"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董事会秘书</w:t>
            </w:r>
          </w:p>
        </w:tc>
        <w:tc>
          <w:tcPr>
            <w:tcW w:w="2220"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证券事务代表</w:t>
            </w:r>
          </w:p>
        </w:tc>
      </w:tr>
      <w:tr w:rsidR="0041001A">
        <w:trPr>
          <w:trHeight w:val="240"/>
        </w:trPr>
        <w:tc>
          <w:tcPr>
            <w:tcW w:w="5200"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姓名</w:t>
            </w:r>
          </w:p>
        </w:tc>
        <w:tc>
          <w:tcPr>
            <w:tcW w:w="2220"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韩文浩</w:t>
            </w:r>
          </w:p>
        </w:tc>
        <w:tc>
          <w:tcPr>
            <w:tcW w:w="2220"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许志涌</w:t>
            </w:r>
          </w:p>
        </w:tc>
      </w:tr>
      <w:tr w:rsidR="0041001A">
        <w:trPr>
          <w:trHeight w:val="240"/>
        </w:trPr>
        <w:tc>
          <w:tcPr>
            <w:tcW w:w="5200"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办公地址</w:t>
            </w:r>
          </w:p>
        </w:tc>
        <w:tc>
          <w:tcPr>
            <w:tcW w:w="2220"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厦门市同安区西柯镇西柯街611号</w:t>
            </w:r>
          </w:p>
        </w:tc>
        <w:tc>
          <w:tcPr>
            <w:tcW w:w="2220"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厦门市同安区西柯镇西柯街611号</w:t>
            </w:r>
          </w:p>
        </w:tc>
      </w:tr>
      <w:tr w:rsidR="0041001A">
        <w:trPr>
          <w:trHeight w:val="240"/>
        </w:trPr>
        <w:tc>
          <w:tcPr>
            <w:tcW w:w="5200"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传真</w:t>
            </w:r>
          </w:p>
        </w:tc>
        <w:tc>
          <w:tcPr>
            <w:tcW w:w="2220"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0592-7113277</w:t>
            </w:r>
          </w:p>
        </w:tc>
        <w:tc>
          <w:tcPr>
            <w:tcW w:w="2220"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0592-7113277</w:t>
            </w:r>
          </w:p>
        </w:tc>
      </w:tr>
      <w:tr w:rsidR="0041001A">
        <w:trPr>
          <w:trHeight w:val="240"/>
        </w:trPr>
        <w:tc>
          <w:tcPr>
            <w:tcW w:w="5200"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电话</w:t>
            </w:r>
          </w:p>
        </w:tc>
        <w:tc>
          <w:tcPr>
            <w:tcW w:w="2220"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0592-7395006</w:t>
            </w:r>
          </w:p>
        </w:tc>
        <w:tc>
          <w:tcPr>
            <w:tcW w:w="2220"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0592-7395006</w:t>
            </w:r>
          </w:p>
        </w:tc>
      </w:tr>
      <w:tr w:rsidR="0041001A">
        <w:trPr>
          <w:trHeight w:val="240"/>
        </w:trPr>
        <w:tc>
          <w:tcPr>
            <w:tcW w:w="5200"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电子信箱</w:t>
            </w:r>
          </w:p>
        </w:tc>
        <w:tc>
          <w:tcPr>
            <w:tcW w:w="2220"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stock.eami@jaguar-compressor.com</w:t>
            </w:r>
          </w:p>
        </w:tc>
        <w:tc>
          <w:tcPr>
            <w:tcW w:w="2220"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stock.eami@jaguar-compressor.com</w:t>
            </w:r>
          </w:p>
        </w:tc>
      </w:tr>
    </w:tbl>
    <w:p w:rsidR="0041001A" w:rsidRDefault="005B7A09">
      <w:pPr>
        <w:pStyle w:val="3"/>
        <w:spacing w:line="280" w:lineRule="exact"/>
        <w:jc w:val="left"/>
        <w:rPr>
          <w:rFonts w:ascii="宋体" w:hAnsi="宋体" w:cs="宋体"/>
          <w:b/>
          <w:bCs/>
        </w:rPr>
      </w:pPr>
      <w:bookmarkStart w:id="3" w:name="_Toc988892"/>
      <w:r>
        <w:rPr>
          <w:rFonts w:ascii="宋体" w:hAnsi="宋体" w:cs="宋体"/>
          <w:b/>
          <w:bCs/>
        </w:rPr>
        <w:t>2、报告期主要业务或产品简介</w:t>
      </w:r>
      <w:bookmarkEnd w:id="3"/>
    </w:p>
    <w:p w:rsidR="0041001A" w:rsidRDefault="005B7A09">
      <w:pPr>
        <w:ind w:firstLine="481"/>
        <w:jc w:val="both"/>
      </w:pPr>
      <w:r>
        <w:rPr>
          <w:rFonts w:ascii="宋体" w:hAnsi="宋体"/>
          <w:b/>
          <w:sz w:val="24"/>
        </w:rPr>
        <w:t>（</w:t>
      </w:r>
      <w:r>
        <w:rPr>
          <w:rFonts w:ascii="Times New Roman" w:hAnsi="Times New Roman"/>
          <w:b/>
          <w:sz w:val="24"/>
        </w:rPr>
        <w:t>1</w:t>
      </w:r>
      <w:r>
        <w:rPr>
          <w:rFonts w:ascii="宋体" w:hAnsi="宋体"/>
          <w:b/>
          <w:sz w:val="24"/>
        </w:rPr>
        <w:t>）空气压缩机应用简介</w:t>
      </w:r>
    </w:p>
    <w:p w:rsidR="0041001A" w:rsidRDefault="005B7A09">
      <w:pPr>
        <w:ind w:firstLine="479"/>
        <w:jc w:val="both"/>
      </w:pPr>
      <w:r>
        <w:rPr>
          <w:rFonts w:ascii="宋体" w:hAnsi="宋体"/>
          <w:sz w:val="24"/>
        </w:rPr>
        <w:t>空气压缩机是一种通过压缩的方式使低压气体转变为高压气体，从而将原动机（通常是电动机）的机械能转化为气体压力能的气压发生装置。</w:t>
      </w:r>
    </w:p>
    <w:p w:rsidR="0041001A" w:rsidRDefault="005B7A09">
      <w:pPr>
        <w:ind w:firstLine="479"/>
        <w:jc w:val="both"/>
      </w:pPr>
      <w:r>
        <w:rPr>
          <w:rFonts w:ascii="宋体" w:hAnsi="宋体"/>
          <w:sz w:val="24"/>
        </w:rPr>
        <w:t>空气压缩机主要用于提供空气动力，是工业现代化、自动化的基础动力产品，是工业活动中必不可少的设备之一，广泛应用于装备制造、新能源、半导体、汽车、冶金、</w:t>
      </w:r>
      <w:r>
        <w:rPr>
          <w:rFonts w:ascii="Times New Roman" w:hAnsi="Times New Roman"/>
          <w:sz w:val="24"/>
        </w:rPr>
        <w:t> </w:t>
      </w:r>
      <w:r>
        <w:rPr>
          <w:rFonts w:ascii="宋体" w:hAnsi="宋体"/>
          <w:sz w:val="24"/>
        </w:rPr>
        <w:t>电力、电子、医疗、纺织、食品饮料等工业领域，常见应用场景如下表所示：</w:t>
      </w:r>
    </w:p>
    <w:tbl>
      <w:tblPr>
        <w:tblStyle w:val="a3"/>
        <w:tblW w:w="0" w:type="auto"/>
        <w:tblCellMar>
          <w:left w:w="0" w:type="dxa"/>
          <w:right w:w="0" w:type="dxa"/>
        </w:tblCellMar>
        <w:tblLook w:val="04A0" w:firstRow="1" w:lastRow="0" w:firstColumn="1" w:lastColumn="0" w:noHBand="0" w:noVBand="1"/>
      </w:tblPr>
      <w:tblGrid>
        <w:gridCol w:w="1426"/>
        <w:gridCol w:w="8231"/>
      </w:tblGrid>
      <w:tr w:rsidR="0041001A">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ind w:right="89"/>
              <w:jc w:val="center"/>
            </w:pPr>
            <w:r>
              <w:rPr>
                <w:rFonts w:ascii="宋体" w:hAnsi="宋体"/>
                <w:b/>
                <w:sz w:val="24"/>
              </w:rPr>
              <w:lastRenderedPageBreak/>
              <w:t>行业类别</w:t>
            </w:r>
          </w:p>
        </w:tc>
        <w:tc>
          <w:tcPr>
            <w:tcW w:w="8459"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ind w:left="96"/>
              <w:jc w:val="center"/>
            </w:pPr>
            <w:r>
              <w:rPr>
                <w:rFonts w:ascii="宋体" w:hAnsi="宋体"/>
                <w:b/>
                <w:sz w:val="24"/>
              </w:rPr>
              <w:t>具体应用举例</w:t>
            </w:r>
          </w:p>
        </w:tc>
      </w:tr>
      <w:tr w:rsidR="0041001A">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ind w:right="89"/>
              <w:jc w:val="center"/>
            </w:pPr>
            <w:r>
              <w:rPr>
                <w:rFonts w:ascii="宋体" w:hAnsi="宋体"/>
                <w:sz w:val="24"/>
              </w:rPr>
              <w:t>集成电路</w:t>
            </w:r>
          </w:p>
        </w:tc>
        <w:tc>
          <w:tcPr>
            <w:tcW w:w="8459" w:type="dxa"/>
            <w:tcBorders>
              <w:bottom w:val="single" w:sz="8" w:space="0" w:color="000000"/>
              <w:right w:val="single" w:sz="8" w:space="0" w:color="000000"/>
            </w:tcBorders>
            <w:tcMar>
              <w:top w:w="10" w:type="dxa"/>
              <w:left w:w="10" w:type="dxa"/>
              <w:bottom w:w="10" w:type="dxa"/>
              <w:right w:w="10" w:type="dxa"/>
            </w:tcMar>
          </w:tcPr>
          <w:p w:rsidR="0041001A" w:rsidRDefault="005B7A09">
            <w:pPr>
              <w:ind w:left="96"/>
              <w:jc w:val="both"/>
            </w:pPr>
            <w:r>
              <w:rPr>
                <w:rFonts w:ascii="宋体" w:hAnsi="宋体"/>
                <w:sz w:val="24"/>
              </w:rPr>
              <w:t>单晶硅制造拉单晶，晶圆加工光刻、刻蚀等，封装测试模塑</w:t>
            </w:r>
          </w:p>
        </w:tc>
      </w:tr>
      <w:tr w:rsidR="0041001A">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ind w:right="89"/>
              <w:jc w:val="center"/>
            </w:pPr>
            <w:r>
              <w:rPr>
                <w:rFonts w:ascii="宋体" w:hAnsi="宋体"/>
                <w:sz w:val="24"/>
              </w:rPr>
              <w:t>新能源</w:t>
            </w:r>
          </w:p>
        </w:tc>
        <w:tc>
          <w:tcPr>
            <w:tcW w:w="8459" w:type="dxa"/>
            <w:tcBorders>
              <w:bottom w:val="single" w:sz="8" w:space="0" w:color="000000"/>
              <w:right w:val="single" w:sz="8" w:space="0" w:color="000000"/>
            </w:tcBorders>
            <w:tcMar>
              <w:top w:w="10" w:type="dxa"/>
              <w:left w:w="10" w:type="dxa"/>
              <w:bottom w:w="10" w:type="dxa"/>
              <w:right w:w="10" w:type="dxa"/>
            </w:tcMar>
          </w:tcPr>
          <w:p w:rsidR="0041001A" w:rsidRDefault="005B7A09">
            <w:pPr>
              <w:ind w:left="96"/>
              <w:jc w:val="both"/>
            </w:pPr>
            <w:r>
              <w:rPr>
                <w:rFonts w:ascii="宋体" w:hAnsi="宋体"/>
                <w:sz w:val="24"/>
              </w:rPr>
              <w:t>光伏硅料清洗、电池片，</w:t>
            </w:r>
            <w:r>
              <w:rPr>
                <w:rFonts w:ascii="Times New Roman" w:hAnsi="Times New Roman"/>
                <w:sz w:val="24"/>
              </w:rPr>
              <w:t> </w:t>
            </w:r>
            <w:r>
              <w:rPr>
                <w:rFonts w:ascii="宋体" w:hAnsi="宋体"/>
                <w:sz w:val="24"/>
              </w:rPr>
              <w:t>锂电设备维护、真空吸附</w:t>
            </w:r>
          </w:p>
        </w:tc>
      </w:tr>
      <w:tr w:rsidR="0041001A">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spacing w:before="148"/>
              <w:ind w:right="89"/>
              <w:jc w:val="center"/>
            </w:pPr>
            <w:r>
              <w:rPr>
                <w:rFonts w:ascii="宋体" w:hAnsi="宋体"/>
                <w:sz w:val="24"/>
              </w:rPr>
              <w:t>医疗行业</w:t>
            </w:r>
          </w:p>
        </w:tc>
        <w:tc>
          <w:tcPr>
            <w:tcW w:w="8459" w:type="dxa"/>
            <w:tcBorders>
              <w:bottom w:val="single" w:sz="8" w:space="0" w:color="000000"/>
              <w:right w:val="single" w:sz="8" w:space="0" w:color="000000"/>
            </w:tcBorders>
            <w:tcMar>
              <w:top w:w="10" w:type="dxa"/>
              <w:left w:w="10" w:type="dxa"/>
              <w:bottom w:w="10" w:type="dxa"/>
              <w:right w:w="10" w:type="dxa"/>
            </w:tcMar>
          </w:tcPr>
          <w:p w:rsidR="0041001A" w:rsidRDefault="005B7A09">
            <w:pPr>
              <w:ind w:left="100"/>
              <w:jc w:val="both"/>
            </w:pPr>
            <w:r>
              <w:rPr>
                <w:rFonts w:ascii="宋体" w:hAnsi="宋体"/>
                <w:sz w:val="24"/>
              </w:rPr>
              <w:t>驱动口罩机的气动元件、熔喷布生产过程中利用空气动力拉伸纤维、高压气体</w:t>
            </w:r>
          </w:p>
          <w:p w:rsidR="0041001A" w:rsidRDefault="005B7A09">
            <w:pPr>
              <w:spacing w:before="50"/>
              <w:ind w:left="100"/>
              <w:jc w:val="both"/>
            </w:pPr>
            <w:r>
              <w:rPr>
                <w:rFonts w:ascii="宋体" w:hAnsi="宋体"/>
                <w:sz w:val="24"/>
              </w:rPr>
              <w:t>吹瓶吹塑、压缩搅拌、灌装二氧化碳</w:t>
            </w:r>
          </w:p>
        </w:tc>
      </w:tr>
      <w:tr w:rsidR="0041001A">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spacing w:before="150"/>
              <w:ind w:right="89"/>
              <w:jc w:val="center"/>
            </w:pPr>
            <w:r>
              <w:rPr>
                <w:rFonts w:ascii="宋体" w:hAnsi="宋体"/>
                <w:sz w:val="24"/>
              </w:rPr>
              <w:t>装备行业</w:t>
            </w:r>
          </w:p>
        </w:tc>
        <w:tc>
          <w:tcPr>
            <w:tcW w:w="8459" w:type="dxa"/>
            <w:tcBorders>
              <w:bottom w:val="single" w:sz="8" w:space="0" w:color="000000"/>
              <w:right w:val="single" w:sz="8" w:space="0" w:color="000000"/>
            </w:tcBorders>
            <w:tcMar>
              <w:top w:w="10" w:type="dxa"/>
              <w:left w:w="10" w:type="dxa"/>
              <w:bottom w:w="10" w:type="dxa"/>
              <w:right w:w="10" w:type="dxa"/>
            </w:tcMar>
          </w:tcPr>
          <w:p w:rsidR="0041001A" w:rsidRDefault="005B7A09">
            <w:pPr>
              <w:ind w:left="100" w:right="106"/>
              <w:jc w:val="both"/>
            </w:pPr>
            <w:r>
              <w:rPr>
                <w:rFonts w:ascii="宋体" w:hAnsi="宋体"/>
                <w:sz w:val="24"/>
              </w:rPr>
              <w:t>驱动各种风动机械，如风镐、铆钉机、压力机、升降机等；仪表控制及自动化装置，如气动仪表、气动阀门等；喷涂喷砂，如喷漆枪等</w:t>
            </w:r>
          </w:p>
        </w:tc>
      </w:tr>
      <w:tr w:rsidR="0041001A">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spacing w:before="21"/>
              <w:ind w:right="89"/>
              <w:jc w:val="center"/>
            </w:pPr>
            <w:r>
              <w:rPr>
                <w:rFonts w:ascii="宋体" w:hAnsi="宋体"/>
                <w:sz w:val="24"/>
              </w:rPr>
              <w:t>汽车行业</w:t>
            </w:r>
          </w:p>
        </w:tc>
        <w:tc>
          <w:tcPr>
            <w:tcW w:w="8459" w:type="dxa"/>
            <w:tcBorders>
              <w:bottom w:val="single" w:sz="8" w:space="0" w:color="000000"/>
              <w:right w:val="single" w:sz="8" w:space="0" w:color="000000"/>
            </w:tcBorders>
            <w:tcMar>
              <w:top w:w="10" w:type="dxa"/>
              <w:left w:w="10" w:type="dxa"/>
              <w:bottom w:w="10" w:type="dxa"/>
              <w:right w:w="10" w:type="dxa"/>
            </w:tcMar>
          </w:tcPr>
          <w:p w:rsidR="0041001A" w:rsidRDefault="005B7A09">
            <w:pPr>
              <w:spacing w:before="21"/>
              <w:ind w:left="100"/>
              <w:jc w:val="both"/>
            </w:pPr>
            <w:r>
              <w:rPr>
                <w:rFonts w:ascii="宋体" w:hAnsi="宋体"/>
                <w:sz w:val="24"/>
              </w:rPr>
              <w:t>利用压缩空气来对汽车进行清洁、水基涂料、喷漆辅助、自动冲压等</w:t>
            </w:r>
          </w:p>
        </w:tc>
      </w:tr>
      <w:tr w:rsidR="0041001A">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spacing w:before="21"/>
              <w:ind w:right="89"/>
              <w:jc w:val="center"/>
            </w:pPr>
            <w:r>
              <w:rPr>
                <w:rFonts w:ascii="宋体" w:hAnsi="宋体"/>
                <w:sz w:val="24"/>
              </w:rPr>
              <w:t>冶金行业</w:t>
            </w:r>
          </w:p>
        </w:tc>
        <w:tc>
          <w:tcPr>
            <w:tcW w:w="8459" w:type="dxa"/>
            <w:tcBorders>
              <w:bottom w:val="single" w:sz="8" w:space="0" w:color="000000"/>
              <w:right w:val="single" w:sz="8" w:space="0" w:color="000000"/>
            </w:tcBorders>
            <w:tcMar>
              <w:top w:w="10" w:type="dxa"/>
              <w:left w:w="10" w:type="dxa"/>
              <w:bottom w:w="10" w:type="dxa"/>
              <w:right w:w="10" w:type="dxa"/>
            </w:tcMar>
          </w:tcPr>
          <w:p w:rsidR="0041001A" w:rsidRDefault="005B7A09">
            <w:pPr>
              <w:spacing w:before="21"/>
              <w:ind w:left="100"/>
              <w:jc w:val="both"/>
            </w:pPr>
            <w:r>
              <w:rPr>
                <w:rFonts w:ascii="宋体" w:hAnsi="宋体"/>
                <w:sz w:val="24"/>
              </w:rPr>
              <w:t>高压爆破开采；输送煤粉；输送助燃气体，如高炉送风、高炉送氧等</w:t>
            </w:r>
          </w:p>
        </w:tc>
      </w:tr>
      <w:tr w:rsidR="0041001A">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spacing w:before="150"/>
              <w:ind w:right="89"/>
              <w:jc w:val="center"/>
            </w:pPr>
            <w:r>
              <w:rPr>
                <w:rFonts w:ascii="宋体" w:hAnsi="宋体"/>
                <w:sz w:val="24"/>
              </w:rPr>
              <w:t>电力行业</w:t>
            </w:r>
          </w:p>
        </w:tc>
        <w:tc>
          <w:tcPr>
            <w:tcW w:w="8459" w:type="dxa"/>
            <w:tcBorders>
              <w:bottom w:val="single" w:sz="8" w:space="0" w:color="000000"/>
              <w:right w:val="single" w:sz="8" w:space="0" w:color="000000"/>
            </w:tcBorders>
            <w:tcMar>
              <w:top w:w="10" w:type="dxa"/>
              <w:left w:w="10" w:type="dxa"/>
              <w:bottom w:w="10" w:type="dxa"/>
              <w:right w:w="10" w:type="dxa"/>
            </w:tcMar>
          </w:tcPr>
          <w:p w:rsidR="0041001A" w:rsidRDefault="005B7A09">
            <w:pPr>
              <w:ind w:left="100" w:right="106"/>
              <w:jc w:val="both"/>
            </w:pPr>
            <w:r>
              <w:rPr>
                <w:rFonts w:ascii="宋体" w:hAnsi="宋体"/>
                <w:sz w:val="24"/>
              </w:rPr>
              <w:t>吹气清洁管道、吹除烟垢、清洁锅炉及冷凝器管道、喷气清洗、清除污水、气动控制等</w:t>
            </w:r>
          </w:p>
        </w:tc>
      </w:tr>
      <w:tr w:rsidR="0041001A">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spacing w:before="21"/>
              <w:ind w:right="89"/>
              <w:jc w:val="center"/>
            </w:pPr>
            <w:r>
              <w:rPr>
                <w:rFonts w:ascii="宋体" w:hAnsi="宋体"/>
                <w:sz w:val="24"/>
              </w:rPr>
              <w:t>电子行业</w:t>
            </w:r>
          </w:p>
        </w:tc>
        <w:tc>
          <w:tcPr>
            <w:tcW w:w="8459" w:type="dxa"/>
            <w:tcBorders>
              <w:bottom w:val="single" w:sz="8" w:space="0" w:color="000000"/>
              <w:right w:val="single" w:sz="8" w:space="0" w:color="000000"/>
            </w:tcBorders>
            <w:tcMar>
              <w:top w:w="10" w:type="dxa"/>
              <w:left w:w="10" w:type="dxa"/>
              <w:bottom w:w="10" w:type="dxa"/>
              <w:right w:w="10" w:type="dxa"/>
            </w:tcMar>
          </w:tcPr>
          <w:p w:rsidR="0041001A" w:rsidRDefault="005B7A09">
            <w:pPr>
              <w:spacing w:before="21"/>
              <w:ind w:left="100"/>
              <w:jc w:val="both"/>
            </w:pPr>
            <w:r>
              <w:rPr>
                <w:rFonts w:ascii="宋体" w:hAnsi="宋体"/>
                <w:sz w:val="24"/>
              </w:rPr>
              <w:t>输送粒状物、干燥气动控制等</w:t>
            </w:r>
          </w:p>
        </w:tc>
      </w:tr>
      <w:tr w:rsidR="0041001A">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spacing w:before="21"/>
              <w:ind w:right="89"/>
              <w:jc w:val="center"/>
            </w:pPr>
            <w:r>
              <w:rPr>
                <w:rFonts w:ascii="宋体" w:hAnsi="宋体"/>
                <w:sz w:val="24"/>
              </w:rPr>
              <w:t>纺织行业</w:t>
            </w:r>
          </w:p>
        </w:tc>
        <w:tc>
          <w:tcPr>
            <w:tcW w:w="8459" w:type="dxa"/>
            <w:tcBorders>
              <w:bottom w:val="single" w:sz="8" w:space="0" w:color="000000"/>
              <w:right w:val="single" w:sz="8" w:space="0" w:color="000000"/>
            </w:tcBorders>
            <w:tcMar>
              <w:top w:w="10" w:type="dxa"/>
              <w:left w:w="10" w:type="dxa"/>
              <w:bottom w:w="10" w:type="dxa"/>
              <w:right w:w="10" w:type="dxa"/>
            </w:tcMar>
          </w:tcPr>
          <w:p w:rsidR="0041001A" w:rsidRDefault="005B7A09">
            <w:pPr>
              <w:spacing w:before="21"/>
              <w:ind w:left="100"/>
              <w:jc w:val="both"/>
            </w:pPr>
            <w:r>
              <w:rPr>
                <w:rFonts w:ascii="宋体" w:hAnsi="宋体"/>
                <w:sz w:val="24"/>
              </w:rPr>
              <w:t>搅拌液体、润湿、喷气编织、纬纱吹送、牛仔布砂洗等</w:t>
            </w:r>
          </w:p>
        </w:tc>
      </w:tr>
      <w:tr w:rsidR="0041001A">
        <w:tc>
          <w:tcPr>
            <w:tcW w:w="146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spacing w:before="21"/>
              <w:ind w:right="89"/>
              <w:jc w:val="center"/>
            </w:pPr>
            <w:r>
              <w:rPr>
                <w:rFonts w:ascii="宋体" w:hAnsi="宋体"/>
                <w:sz w:val="24"/>
              </w:rPr>
              <w:t>食品饮料</w:t>
            </w:r>
          </w:p>
        </w:tc>
        <w:tc>
          <w:tcPr>
            <w:tcW w:w="8459" w:type="dxa"/>
            <w:tcBorders>
              <w:bottom w:val="single" w:sz="8" w:space="0" w:color="000000"/>
              <w:right w:val="single" w:sz="8" w:space="0" w:color="000000"/>
            </w:tcBorders>
            <w:tcMar>
              <w:top w:w="10" w:type="dxa"/>
              <w:left w:w="10" w:type="dxa"/>
              <w:bottom w:w="10" w:type="dxa"/>
              <w:right w:w="10" w:type="dxa"/>
            </w:tcMar>
          </w:tcPr>
          <w:p w:rsidR="0041001A" w:rsidRDefault="005B7A09">
            <w:pPr>
              <w:spacing w:before="21"/>
              <w:ind w:left="100"/>
              <w:jc w:val="both"/>
            </w:pPr>
            <w:r>
              <w:rPr>
                <w:rFonts w:ascii="宋体" w:hAnsi="宋体"/>
                <w:sz w:val="24"/>
              </w:rPr>
              <w:t>食品发酵、粉状物质的输送、冷却出炉食物等</w:t>
            </w:r>
          </w:p>
        </w:tc>
      </w:tr>
    </w:tbl>
    <w:p w:rsidR="0041001A" w:rsidRDefault="005B7A09">
      <w:pPr>
        <w:ind w:firstLine="479"/>
        <w:jc w:val="both"/>
      </w:pPr>
      <w:r>
        <w:rPr>
          <w:rFonts w:ascii="宋体" w:hAnsi="宋体"/>
          <w:sz w:val="24"/>
        </w:rPr>
        <w:t>各行业常见应用，以图形形式举例如下：</w:t>
      </w:r>
    </w:p>
    <w:tbl>
      <w:tblPr>
        <w:tblStyle w:val="a3"/>
        <w:tblW w:w="0" w:type="auto"/>
        <w:tblCellMar>
          <w:left w:w="0" w:type="dxa"/>
          <w:right w:w="0" w:type="dxa"/>
        </w:tblCellMar>
        <w:tblLook w:val="04A0" w:firstRow="1" w:lastRow="0" w:firstColumn="1" w:lastColumn="0" w:noHBand="0" w:noVBand="1"/>
      </w:tblPr>
      <w:tblGrid>
        <w:gridCol w:w="1469"/>
        <w:gridCol w:w="3361"/>
        <w:gridCol w:w="1276"/>
        <w:gridCol w:w="3551"/>
      </w:tblGrid>
      <w:tr w:rsidR="0041001A" w:rsidTr="00852AF5">
        <w:tc>
          <w:tcPr>
            <w:tcW w:w="1469"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keepNext/>
              <w:jc w:val="center"/>
            </w:pPr>
            <w:r>
              <w:rPr>
                <w:rFonts w:ascii="宋体" w:hAnsi="宋体"/>
                <w:b/>
                <w:sz w:val="24"/>
              </w:rPr>
              <w:t>行业类别</w:t>
            </w:r>
          </w:p>
        </w:tc>
        <w:tc>
          <w:tcPr>
            <w:tcW w:w="3361" w:type="dxa"/>
            <w:tcBorders>
              <w:top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keepNext/>
              <w:jc w:val="center"/>
            </w:pPr>
            <w:r>
              <w:rPr>
                <w:rFonts w:ascii="宋体" w:hAnsi="宋体"/>
                <w:b/>
                <w:sz w:val="24"/>
              </w:rPr>
              <w:t>应用图示</w:t>
            </w:r>
          </w:p>
        </w:tc>
        <w:tc>
          <w:tcPr>
            <w:tcW w:w="1276"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r>
              <w:rPr>
                <w:rFonts w:ascii="宋体" w:hAnsi="宋体"/>
                <w:b/>
                <w:sz w:val="24"/>
              </w:rPr>
              <w:t>行业类别</w:t>
            </w:r>
          </w:p>
        </w:tc>
        <w:tc>
          <w:tcPr>
            <w:tcW w:w="3551" w:type="dxa"/>
            <w:tcBorders>
              <w:top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keepNext/>
              <w:jc w:val="center"/>
            </w:pPr>
            <w:r>
              <w:rPr>
                <w:rFonts w:ascii="宋体" w:hAnsi="宋体"/>
                <w:b/>
                <w:sz w:val="24"/>
              </w:rPr>
              <w:t>应用图示</w:t>
            </w:r>
          </w:p>
        </w:tc>
      </w:tr>
      <w:tr w:rsidR="0041001A" w:rsidTr="00852AF5">
        <w:tc>
          <w:tcPr>
            <w:tcW w:w="1469"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keepNext/>
              <w:jc w:val="center"/>
            </w:pPr>
            <w:r>
              <w:rPr>
                <w:rFonts w:ascii="宋体" w:hAnsi="宋体"/>
                <w:sz w:val="24"/>
              </w:rPr>
              <w:t>集成电路</w:t>
            </w:r>
          </w:p>
        </w:tc>
        <w:tc>
          <w:tcPr>
            <w:tcW w:w="336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rsidP="00852AF5">
            <w:pPr>
              <w:jc w:val="center"/>
            </w:pPr>
            <w:r>
              <w:rPr>
                <w:noProof/>
              </w:rPr>
              <w:drawing>
                <wp:inline distT="0" distB="0" distL="0" distR="0">
                  <wp:extent cx="1962150" cy="11811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6"/>
                          <a:srcRect/>
                          <a:stretch>
                            <a:fillRect/>
                          </a:stretch>
                        </pic:blipFill>
                        <pic:spPr bwMode="auto">
                          <a:xfrm>
                            <a:off x="0" y="0"/>
                            <a:ext cx="1962150" cy="1181100"/>
                          </a:xfrm>
                          <a:prstGeom prst="rect">
                            <a:avLst/>
                          </a:prstGeom>
                        </pic:spPr>
                      </pic:pic>
                    </a:graphicData>
                  </a:graphic>
                </wp:inline>
              </w:drawing>
            </w:r>
          </w:p>
        </w:tc>
        <w:tc>
          <w:tcPr>
            <w:tcW w:w="127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ind w:left="248" w:right="142"/>
              <w:jc w:val="center"/>
            </w:pPr>
            <w:r>
              <w:rPr>
                <w:rFonts w:ascii="宋体" w:hAnsi="宋体"/>
                <w:sz w:val="24"/>
              </w:rPr>
              <w:t>新能源</w:t>
            </w:r>
          </w:p>
        </w:tc>
        <w:tc>
          <w:tcPr>
            <w:tcW w:w="355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spacing w:before="56"/>
              <w:ind w:right="2"/>
              <w:jc w:val="center"/>
            </w:pPr>
            <w:r>
              <w:rPr>
                <w:noProof/>
              </w:rPr>
              <w:drawing>
                <wp:inline distT="0" distB="0" distL="0" distR="0">
                  <wp:extent cx="1962150" cy="12382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noChangeArrowheads="1"/>
                          </pic:cNvPicPr>
                        </pic:nvPicPr>
                        <pic:blipFill>
                          <a:blip r:embed="rId7"/>
                          <a:srcRect/>
                          <a:stretch>
                            <a:fillRect/>
                          </a:stretch>
                        </pic:blipFill>
                        <pic:spPr bwMode="auto">
                          <a:xfrm>
                            <a:off x="0" y="0"/>
                            <a:ext cx="1962150" cy="1238250"/>
                          </a:xfrm>
                          <a:prstGeom prst="rect">
                            <a:avLst/>
                          </a:prstGeom>
                        </pic:spPr>
                      </pic:pic>
                    </a:graphicData>
                  </a:graphic>
                </wp:inline>
              </w:drawing>
            </w:r>
            <w:r>
              <w:rPr>
                <w:rFonts w:ascii="Times New Roman" w:hAnsi="Times New Roman"/>
                <w:sz w:val="24"/>
              </w:rPr>
              <w:t xml:space="preserve"> </w:t>
            </w:r>
          </w:p>
        </w:tc>
      </w:tr>
      <w:tr w:rsidR="0041001A" w:rsidTr="00852AF5">
        <w:tc>
          <w:tcPr>
            <w:tcW w:w="1469"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ind w:right="48"/>
              <w:jc w:val="center"/>
            </w:pPr>
            <w:r>
              <w:rPr>
                <w:rFonts w:ascii="宋体" w:hAnsi="宋体"/>
                <w:sz w:val="24"/>
              </w:rPr>
              <w:t>装备行业</w:t>
            </w:r>
          </w:p>
        </w:tc>
        <w:tc>
          <w:tcPr>
            <w:tcW w:w="336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noProof/>
              </w:rPr>
              <w:drawing>
                <wp:inline distT="0" distB="0" distL="0" distR="0">
                  <wp:extent cx="1952624" cy="11049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8"/>
                          <a:srcRect/>
                          <a:stretch>
                            <a:fillRect/>
                          </a:stretch>
                        </pic:blipFill>
                        <pic:spPr bwMode="auto">
                          <a:xfrm>
                            <a:off x="0" y="0"/>
                            <a:ext cx="1952624" cy="1104900"/>
                          </a:xfrm>
                          <a:prstGeom prst="rect">
                            <a:avLst/>
                          </a:prstGeom>
                        </pic:spPr>
                      </pic:pic>
                    </a:graphicData>
                  </a:graphic>
                </wp:inline>
              </w:drawing>
            </w:r>
          </w:p>
        </w:tc>
        <w:tc>
          <w:tcPr>
            <w:tcW w:w="127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ind w:left="143" w:right="38"/>
              <w:jc w:val="center"/>
            </w:pPr>
            <w:r>
              <w:rPr>
                <w:rFonts w:ascii="宋体" w:hAnsi="宋体"/>
                <w:sz w:val="24"/>
              </w:rPr>
              <w:t>汽车行业</w:t>
            </w:r>
          </w:p>
        </w:tc>
        <w:tc>
          <w:tcPr>
            <w:tcW w:w="355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spacing w:before="53"/>
              <w:ind w:right="33"/>
              <w:jc w:val="center"/>
            </w:pPr>
            <w:r>
              <w:rPr>
                <w:noProof/>
              </w:rPr>
              <w:drawing>
                <wp:inline distT="0" distB="0" distL="0" distR="0">
                  <wp:extent cx="1952624" cy="11525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noChangeArrowheads="1"/>
                          </pic:cNvPicPr>
                        </pic:nvPicPr>
                        <pic:blipFill>
                          <a:blip r:embed="rId9"/>
                          <a:srcRect/>
                          <a:stretch>
                            <a:fillRect/>
                          </a:stretch>
                        </pic:blipFill>
                        <pic:spPr bwMode="auto">
                          <a:xfrm>
                            <a:off x="0" y="0"/>
                            <a:ext cx="1952624" cy="1152525"/>
                          </a:xfrm>
                          <a:prstGeom prst="rect">
                            <a:avLst/>
                          </a:prstGeom>
                        </pic:spPr>
                      </pic:pic>
                    </a:graphicData>
                  </a:graphic>
                </wp:inline>
              </w:drawing>
            </w:r>
            <w:r>
              <w:rPr>
                <w:rFonts w:ascii="Times New Roman" w:hAnsi="Times New Roman"/>
                <w:sz w:val="24"/>
              </w:rPr>
              <w:t xml:space="preserve"> </w:t>
            </w:r>
          </w:p>
        </w:tc>
      </w:tr>
      <w:tr w:rsidR="0041001A" w:rsidTr="00852AF5">
        <w:tc>
          <w:tcPr>
            <w:tcW w:w="1469"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ind w:right="48"/>
              <w:jc w:val="center"/>
            </w:pPr>
            <w:r>
              <w:rPr>
                <w:rFonts w:ascii="宋体" w:hAnsi="宋体"/>
                <w:sz w:val="24"/>
              </w:rPr>
              <w:t>冶金行业</w:t>
            </w:r>
          </w:p>
        </w:tc>
        <w:tc>
          <w:tcPr>
            <w:tcW w:w="336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noProof/>
              </w:rPr>
              <w:drawing>
                <wp:inline distT="0" distB="0" distL="0" distR="0">
                  <wp:extent cx="1971675" cy="13239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0"/>
                          <a:srcRect/>
                          <a:stretch>
                            <a:fillRect/>
                          </a:stretch>
                        </pic:blipFill>
                        <pic:spPr bwMode="auto">
                          <a:xfrm>
                            <a:off x="0" y="0"/>
                            <a:ext cx="1971675" cy="1323975"/>
                          </a:xfrm>
                          <a:prstGeom prst="rect">
                            <a:avLst/>
                          </a:prstGeom>
                        </pic:spPr>
                      </pic:pic>
                    </a:graphicData>
                  </a:graphic>
                </wp:inline>
              </w:drawing>
            </w:r>
          </w:p>
        </w:tc>
        <w:tc>
          <w:tcPr>
            <w:tcW w:w="127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ind w:right="38"/>
              <w:jc w:val="center"/>
            </w:pPr>
            <w:r>
              <w:rPr>
                <w:rFonts w:ascii="宋体" w:hAnsi="宋体"/>
                <w:sz w:val="24"/>
              </w:rPr>
              <w:t>电力行业</w:t>
            </w:r>
          </w:p>
        </w:tc>
        <w:tc>
          <w:tcPr>
            <w:tcW w:w="355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spacing w:before="12"/>
              <w:ind w:right="55"/>
              <w:jc w:val="center"/>
            </w:pPr>
            <w:r>
              <w:rPr>
                <w:noProof/>
              </w:rPr>
              <w:drawing>
                <wp:inline distT="0" distB="0" distL="0" distR="0">
                  <wp:extent cx="1933575" cy="13335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a:picLocks noChangeAspect="1" noChangeArrowheads="1"/>
                          </pic:cNvPicPr>
                        </pic:nvPicPr>
                        <pic:blipFill>
                          <a:blip r:embed="rId11"/>
                          <a:srcRect/>
                          <a:stretch>
                            <a:fillRect/>
                          </a:stretch>
                        </pic:blipFill>
                        <pic:spPr bwMode="auto">
                          <a:xfrm>
                            <a:off x="0" y="0"/>
                            <a:ext cx="1933575" cy="1333500"/>
                          </a:xfrm>
                          <a:prstGeom prst="rect">
                            <a:avLst/>
                          </a:prstGeom>
                        </pic:spPr>
                      </pic:pic>
                    </a:graphicData>
                  </a:graphic>
                </wp:inline>
              </w:drawing>
            </w:r>
            <w:r>
              <w:rPr>
                <w:rFonts w:ascii="Times New Roman" w:hAnsi="Times New Roman"/>
                <w:sz w:val="24"/>
              </w:rPr>
              <w:t> </w:t>
            </w:r>
          </w:p>
        </w:tc>
      </w:tr>
      <w:tr w:rsidR="0041001A" w:rsidTr="00852AF5">
        <w:tc>
          <w:tcPr>
            <w:tcW w:w="1469"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ind w:right="48"/>
              <w:jc w:val="center"/>
            </w:pPr>
            <w:r>
              <w:rPr>
                <w:rFonts w:ascii="宋体" w:hAnsi="宋体"/>
                <w:sz w:val="24"/>
              </w:rPr>
              <w:t>电子行业</w:t>
            </w:r>
          </w:p>
        </w:tc>
        <w:tc>
          <w:tcPr>
            <w:tcW w:w="336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noProof/>
              </w:rPr>
              <w:drawing>
                <wp:inline distT="0" distB="0" distL="0" distR="0">
                  <wp:extent cx="2028825" cy="122872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12"/>
                          <a:srcRect/>
                          <a:stretch>
                            <a:fillRect/>
                          </a:stretch>
                        </pic:blipFill>
                        <pic:spPr bwMode="auto">
                          <a:xfrm>
                            <a:off x="0" y="0"/>
                            <a:ext cx="2028825" cy="1228725"/>
                          </a:xfrm>
                          <a:prstGeom prst="rect">
                            <a:avLst/>
                          </a:prstGeom>
                        </pic:spPr>
                      </pic:pic>
                    </a:graphicData>
                  </a:graphic>
                </wp:inline>
              </w:drawing>
            </w:r>
          </w:p>
        </w:tc>
        <w:tc>
          <w:tcPr>
            <w:tcW w:w="127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ind w:right="38"/>
              <w:jc w:val="center"/>
            </w:pPr>
            <w:r>
              <w:rPr>
                <w:rFonts w:ascii="宋体" w:hAnsi="宋体"/>
                <w:sz w:val="24"/>
              </w:rPr>
              <w:t>纺织行业</w:t>
            </w:r>
          </w:p>
        </w:tc>
        <w:tc>
          <w:tcPr>
            <w:tcW w:w="355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spacing w:before="12"/>
              <w:ind w:right="55"/>
              <w:jc w:val="center"/>
            </w:pPr>
            <w:r>
              <w:rPr>
                <w:noProof/>
              </w:rPr>
              <w:drawing>
                <wp:inline distT="0" distB="0" distL="0" distR="0">
                  <wp:extent cx="1914525" cy="12763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a:picLocks noChangeAspect="1" noChangeArrowheads="1"/>
                          </pic:cNvPicPr>
                        </pic:nvPicPr>
                        <pic:blipFill>
                          <a:blip r:embed="rId13"/>
                          <a:srcRect/>
                          <a:stretch>
                            <a:fillRect/>
                          </a:stretch>
                        </pic:blipFill>
                        <pic:spPr bwMode="auto">
                          <a:xfrm>
                            <a:off x="0" y="0"/>
                            <a:ext cx="1914525" cy="1276350"/>
                          </a:xfrm>
                          <a:prstGeom prst="rect">
                            <a:avLst/>
                          </a:prstGeom>
                        </pic:spPr>
                      </pic:pic>
                    </a:graphicData>
                  </a:graphic>
                </wp:inline>
              </w:drawing>
            </w:r>
          </w:p>
        </w:tc>
      </w:tr>
      <w:tr w:rsidR="0041001A" w:rsidTr="00852AF5">
        <w:tc>
          <w:tcPr>
            <w:tcW w:w="1469"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ind w:right="48"/>
              <w:jc w:val="center"/>
            </w:pPr>
            <w:r>
              <w:rPr>
                <w:rFonts w:ascii="宋体" w:hAnsi="宋体"/>
                <w:sz w:val="24"/>
              </w:rPr>
              <w:lastRenderedPageBreak/>
              <w:t>食品饮料</w:t>
            </w:r>
          </w:p>
        </w:tc>
        <w:tc>
          <w:tcPr>
            <w:tcW w:w="336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noProof/>
              </w:rPr>
              <w:drawing>
                <wp:inline distT="0" distB="0" distL="0" distR="0">
                  <wp:extent cx="2000250" cy="12096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14"/>
                          <a:srcRect/>
                          <a:stretch>
                            <a:fillRect/>
                          </a:stretch>
                        </pic:blipFill>
                        <pic:spPr bwMode="auto">
                          <a:xfrm>
                            <a:off x="0" y="0"/>
                            <a:ext cx="2000250" cy="1209675"/>
                          </a:xfrm>
                          <a:prstGeom prst="rect">
                            <a:avLst/>
                          </a:prstGeom>
                        </pic:spPr>
                      </pic:pic>
                    </a:graphicData>
                  </a:graphic>
                </wp:inline>
              </w:drawing>
            </w:r>
          </w:p>
        </w:tc>
        <w:tc>
          <w:tcPr>
            <w:tcW w:w="127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ind w:right="38"/>
              <w:jc w:val="center"/>
            </w:pPr>
            <w:r>
              <w:rPr>
                <w:rFonts w:ascii="宋体" w:hAnsi="宋体"/>
                <w:sz w:val="24"/>
              </w:rPr>
              <w:t>医疗行业</w:t>
            </w:r>
          </w:p>
        </w:tc>
        <w:tc>
          <w:tcPr>
            <w:tcW w:w="355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spacing w:before="12"/>
              <w:ind w:right="55"/>
              <w:jc w:val="center"/>
            </w:pPr>
            <w:r>
              <w:rPr>
                <w:noProof/>
              </w:rPr>
              <w:drawing>
                <wp:inline distT="0" distB="0" distL="0" distR="0">
                  <wp:extent cx="1943100" cy="114300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a:picLocks noChangeAspect="1" noChangeArrowheads="1"/>
                          </pic:cNvPicPr>
                        </pic:nvPicPr>
                        <pic:blipFill>
                          <a:blip r:embed="rId15"/>
                          <a:srcRect/>
                          <a:stretch>
                            <a:fillRect/>
                          </a:stretch>
                        </pic:blipFill>
                        <pic:spPr bwMode="auto">
                          <a:xfrm>
                            <a:off x="0" y="0"/>
                            <a:ext cx="1943100" cy="1143000"/>
                          </a:xfrm>
                          <a:prstGeom prst="rect">
                            <a:avLst/>
                          </a:prstGeom>
                        </pic:spPr>
                      </pic:pic>
                    </a:graphicData>
                  </a:graphic>
                </wp:inline>
              </w:drawing>
            </w:r>
          </w:p>
        </w:tc>
      </w:tr>
    </w:tbl>
    <w:p w:rsidR="0041001A" w:rsidRDefault="005B7A09">
      <w:pPr>
        <w:ind w:firstLine="481"/>
        <w:jc w:val="both"/>
      </w:pPr>
      <w:r>
        <w:rPr>
          <w:rFonts w:ascii="宋体" w:hAnsi="宋体"/>
          <w:b/>
          <w:sz w:val="24"/>
        </w:rPr>
        <w:t>（</w:t>
      </w:r>
      <w:r>
        <w:rPr>
          <w:rFonts w:ascii="Times New Roman" w:hAnsi="Times New Roman"/>
          <w:b/>
          <w:sz w:val="24"/>
        </w:rPr>
        <w:t>2</w:t>
      </w:r>
      <w:r>
        <w:rPr>
          <w:rFonts w:ascii="宋体" w:hAnsi="宋体"/>
          <w:b/>
          <w:sz w:val="24"/>
        </w:rPr>
        <w:t>）公司主要产品介绍</w:t>
      </w:r>
    </w:p>
    <w:p w:rsidR="0041001A" w:rsidRDefault="005B7A09">
      <w:pPr>
        <w:ind w:firstLine="481"/>
        <w:jc w:val="both"/>
      </w:pPr>
      <w:r>
        <w:rPr>
          <w:rFonts w:ascii="Times New Roman" w:hAnsi="Times New Roman"/>
          <w:b/>
          <w:sz w:val="24"/>
        </w:rPr>
        <w:t>1</w:t>
      </w:r>
      <w:r>
        <w:rPr>
          <w:rFonts w:ascii="宋体" w:hAnsi="宋体"/>
          <w:b/>
          <w:sz w:val="24"/>
        </w:rPr>
        <w:t>、公司主营业务</w:t>
      </w:r>
    </w:p>
    <w:p w:rsidR="0041001A" w:rsidRDefault="005B7A09">
      <w:pPr>
        <w:ind w:firstLine="479"/>
        <w:jc w:val="both"/>
      </w:pPr>
      <w:r>
        <w:rPr>
          <w:rFonts w:ascii="宋体" w:hAnsi="宋体"/>
          <w:sz w:val="24"/>
        </w:rPr>
        <w:t>公司专注于提供节能、高效、稳定的空气动力，是以压缩机主机自主研发设计、生产为核心，并进行空气压缩机整机以及配套设备的研发、生产与销售的综合性压缩空气系统解决方案提供商。</w:t>
      </w:r>
    </w:p>
    <w:p w:rsidR="0041001A" w:rsidRDefault="005B7A09">
      <w:pPr>
        <w:ind w:firstLine="481"/>
        <w:jc w:val="both"/>
      </w:pPr>
      <w:r>
        <w:rPr>
          <w:rFonts w:ascii="Times New Roman" w:hAnsi="Times New Roman"/>
          <w:b/>
          <w:sz w:val="24"/>
        </w:rPr>
        <w:t>2</w:t>
      </w:r>
      <w:r>
        <w:rPr>
          <w:rFonts w:ascii="宋体" w:hAnsi="宋体"/>
          <w:b/>
          <w:sz w:val="24"/>
        </w:rPr>
        <w:t>、公司主要产品</w:t>
      </w:r>
    </w:p>
    <w:p w:rsidR="0041001A" w:rsidRDefault="005B7A09">
      <w:pPr>
        <w:ind w:firstLine="479"/>
        <w:jc w:val="both"/>
      </w:pPr>
      <w:r>
        <w:rPr>
          <w:rFonts w:ascii="宋体" w:hAnsi="宋体"/>
          <w:sz w:val="24"/>
        </w:rPr>
        <w:t>公司经过</w:t>
      </w:r>
      <w:r>
        <w:rPr>
          <w:rFonts w:ascii="Times New Roman" w:hAnsi="Times New Roman"/>
          <w:sz w:val="24"/>
        </w:rPr>
        <w:t>30</w:t>
      </w:r>
      <w:r>
        <w:rPr>
          <w:rFonts w:ascii="宋体" w:hAnsi="宋体"/>
          <w:sz w:val="24"/>
        </w:rPr>
        <w:t>多年的专业化生产制造，培育出旗下优质空气压缩机品牌</w:t>
      </w:r>
      <w:r>
        <w:rPr>
          <w:rFonts w:ascii="Times New Roman" w:hAnsi="Times New Roman"/>
          <w:sz w:val="24"/>
        </w:rPr>
        <w:t>“</w:t>
      </w:r>
      <w:r>
        <w:rPr>
          <w:rFonts w:ascii="宋体" w:hAnsi="宋体"/>
          <w:sz w:val="24"/>
        </w:rPr>
        <w:t>捷豹</w:t>
      </w:r>
      <w:r>
        <w:rPr>
          <w:rFonts w:ascii="Times New Roman" w:hAnsi="Times New Roman"/>
          <w:sz w:val="24"/>
        </w:rPr>
        <w:t xml:space="preserve"> JAGUAR”</w:t>
      </w:r>
      <w:r>
        <w:rPr>
          <w:rFonts w:ascii="宋体" w:hAnsi="宋体"/>
          <w:sz w:val="24"/>
        </w:rPr>
        <w:t>，产品包括螺杆式压缩机、真空泵、离心式压缩机、无油式压缩机、活塞式压缩机等系列以及干燥机等相关配套设备及配件。产品广泛应用于装备制造、汽车、半导体、光伏、锂电、冶金、电力、电子、</w:t>
      </w:r>
      <w:r>
        <w:rPr>
          <w:rFonts w:ascii="Times New Roman" w:hAnsi="Times New Roman"/>
          <w:sz w:val="24"/>
        </w:rPr>
        <w:t xml:space="preserve"> </w:t>
      </w:r>
      <w:r>
        <w:rPr>
          <w:rFonts w:ascii="宋体" w:hAnsi="宋体"/>
          <w:sz w:val="24"/>
        </w:rPr>
        <w:t>医疗、纺织、生物发酵等行业领域。公司主要产品类型展示如下：</w:t>
      </w:r>
    </w:p>
    <w:p w:rsidR="0041001A" w:rsidRDefault="005B7A09">
      <w:pPr>
        <w:ind w:firstLine="481"/>
        <w:jc w:val="both"/>
      </w:pPr>
      <w:r>
        <w:rPr>
          <w:rFonts w:ascii="宋体" w:hAnsi="宋体"/>
          <w:b/>
          <w:sz w:val="24"/>
        </w:rPr>
        <w:t>①无油螺杆式空气压缩机系列</w:t>
      </w:r>
    </w:p>
    <w:tbl>
      <w:tblPr>
        <w:tblStyle w:val="a3"/>
        <w:tblW w:w="9657" w:type="dxa"/>
        <w:tblCellMar>
          <w:left w:w="0" w:type="dxa"/>
          <w:right w:w="0" w:type="dxa"/>
        </w:tblCellMar>
        <w:tblLook w:val="04A0" w:firstRow="1" w:lastRow="0" w:firstColumn="1" w:lastColumn="0" w:noHBand="0" w:noVBand="1"/>
      </w:tblPr>
      <w:tblGrid>
        <w:gridCol w:w="1615"/>
        <w:gridCol w:w="4619"/>
        <w:gridCol w:w="1698"/>
        <w:gridCol w:w="1725"/>
      </w:tblGrid>
      <w:tr w:rsidR="0041001A">
        <w:tc>
          <w:tcPr>
            <w:tcW w:w="1615"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产品品类</w:t>
            </w:r>
          </w:p>
        </w:tc>
        <w:tc>
          <w:tcPr>
            <w:tcW w:w="4619"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产品外观结构</w:t>
            </w:r>
          </w:p>
        </w:tc>
        <w:tc>
          <w:tcPr>
            <w:tcW w:w="1698"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产品性能</w:t>
            </w:r>
          </w:p>
        </w:tc>
        <w:tc>
          <w:tcPr>
            <w:tcW w:w="1725"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应用领域</w:t>
            </w:r>
          </w:p>
        </w:tc>
      </w:tr>
      <w:tr w:rsidR="0041001A">
        <w:tc>
          <w:tcPr>
            <w:tcW w:w="161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无油干式螺杆空气压缩机</w:t>
            </w:r>
          </w:p>
        </w:tc>
        <w:tc>
          <w:tcPr>
            <w:tcW w:w="461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 </w:t>
            </w:r>
            <w:r>
              <w:rPr>
                <w:noProof/>
              </w:rPr>
              <w:drawing>
                <wp:inline distT="0" distB="0" distL="0" distR="0">
                  <wp:extent cx="2438400" cy="228600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16"/>
                          <a:srcRect/>
                          <a:stretch>
                            <a:fillRect/>
                          </a:stretch>
                        </pic:blipFill>
                        <pic:spPr bwMode="auto">
                          <a:xfrm>
                            <a:off x="0" y="0"/>
                            <a:ext cx="2438400" cy="2286000"/>
                          </a:xfrm>
                          <a:prstGeom prst="rect">
                            <a:avLst/>
                          </a:prstGeom>
                        </pic:spPr>
                      </pic:pic>
                    </a:graphicData>
                  </a:graphic>
                </wp:inline>
              </w:drawing>
            </w:r>
            <w:r>
              <w:rPr>
                <w:rFonts w:ascii="宋体" w:hAnsi="宋体"/>
                <w:sz w:val="24"/>
              </w:rPr>
              <w:t> </w:t>
            </w:r>
          </w:p>
        </w:tc>
        <w:tc>
          <w:tcPr>
            <w:tcW w:w="1698"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color w:val="333333"/>
                <w:sz w:val="24"/>
              </w:rPr>
              <w:t>压缩过程完全无油，产出清洁无油的压缩空气；转速高，制造、装配精度高、气密性高。</w:t>
            </w:r>
          </w:p>
        </w:tc>
        <w:tc>
          <w:tcPr>
            <w:tcW w:w="1725"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新能源、集成电路SA-CVD、PE—CVD、医疗、食品等对空气清洁度极高的行业领域</w:t>
            </w:r>
          </w:p>
        </w:tc>
      </w:tr>
      <w:tr w:rsidR="0041001A">
        <w:tc>
          <w:tcPr>
            <w:tcW w:w="161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无油水润滑螺杆空气压缩机</w:t>
            </w:r>
          </w:p>
        </w:tc>
        <w:tc>
          <w:tcPr>
            <w:tcW w:w="461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noProof/>
              </w:rPr>
              <w:drawing>
                <wp:inline distT="0" distB="0" distL="0" distR="0">
                  <wp:extent cx="2486025" cy="180022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a:picLocks noChangeAspect="1" noChangeArrowheads="1"/>
                          </pic:cNvPicPr>
                        </pic:nvPicPr>
                        <pic:blipFill>
                          <a:blip r:embed="rId17"/>
                          <a:srcRect/>
                          <a:stretch>
                            <a:fillRect/>
                          </a:stretch>
                        </pic:blipFill>
                        <pic:spPr bwMode="auto">
                          <a:xfrm>
                            <a:off x="0" y="0"/>
                            <a:ext cx="2486025" cy="1800225"/>
                          </a:xfrm>
                          <a:prstGeom prst="rect">
                            <a:avLst/>
                          </a:prstGeom>
                        </pic:spPr>
                      </pic:pic>
                    </a:graphicData>
                  </a:graphic>
                </wp:inline>
              </w:drawing>
            </w:r>
            <w:r>
              <w:rPr>
                <w:rFonts w:ascii="宋体" w:hAnsi="宋体"/>
                <w:sz w:val="24"/>
              </w:rPr>
              <w:t xml:space="preserve">  </w:t>
            </w:r>
          </w:p>
        </w:tc>
        <w:tc>
          <w:tcPr>
            <w:tcW w:w="1698"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color w:val="333333"/>
                <w:sz w:val="24"/>
              </w:rPr>
              <w:t>压缩过程完全无油，产出清洁无油的压缩空气；转速高，制造、装配精度高、气密性高。</w:t>
            </w:r>
          </w:p>
        </w:tc>
        <w:tc>
          <w:tcPr>
            <w:tcW w:w="1725"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新能源、集成电路SA-CVD、PE—CVD、医疗、食品等对空气清洁度极高的行业领域</w:t>
            </w:r>
          </w:p>
        </w:tc>
      </w:tr>
      <w:tr w:rsidR="0041001A">
        <w:tc>
          <w:tcPr>
            <w:tcW w:w="161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lastRenderedPageBreak/>
              <w:t>无油螺杆鼓风机</w:t>
            </w:r>
          </w:p>
        </w:tc>
        <w:tc>
          <w:tcPr>
            <w:tcW w:w="461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Times New Roman" w:hAnsi="Times New Roman"/>
                <w:sz w:val="24"/>
              </w:rPr>
              <w:t> </w:t>
            </w:r>
            <w:r>
              <w:rPr>
                <w:noProof/>
              </w:rPr>
              <w:drawing>
                <wp:inline distT="0" distB="0" distL="0" distR="0">
                  <wp:extent cx="2276475" cy="193357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18"/>
                          <a:srcRect/>
                          <a:stretch>
                            <a:fillRect/>
                          </a:stretch>
                        </pic:blipFill>
                        <pic:spPr bwMode="auto">
                          <a:xfrm>
                            <a:off x="0" y="0"/>
                            <a:ext cx="2276475" cy="1933575"/>
                          </a:xfrm>
                          <a:prstGeom prst="rect">
                            <a:avLst/>
                          </a:prstGeom>
                        </pic:spPr>
                      </pic:pic>
                    </a:graphicData>
                  </a:graphic>
                </wp:inline>
              </w:drawing>
            </w:r>
            <w:r>
              <w:rPr>
                <w:rFonts w:ascii="Times New Roman" w:hAnsi="Times New Roman"/>
                <w:sz w:val="24"/>
              </w:rPr>
              <w:t> </w:t>
            </w:r>
          </w:p>
        </w:tc>
        <w:tc>
          <w:tcPr>
            <w:tcW w:w="1698"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采用无油螺杆机头，适用于各种定压工况。</w:t>
            </w:r>
          </w:p>
        </w:tc>
        <w:tc>
          <w:tcPr>
            <w:tcW w:w="1725"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水泥厂、化工、食品、生物制药等行业领域。</w:t>
            </w:r>
          </w:p>
        </w:tc>
      </w:tr>
      <w:tr w:rsidR="0041001A">
        <w:tc>
          <w:tcPr>
            <w:tcW w:w="1615"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rsidR="0041001A" w:rsidRDefault="005B7A09">
            <w:pPr>
              <w:jc w:val="center"/>
            </w:pPr>
            <w:r>
              <w:rPr>
                <w:rFonts w:ascii="宋体" w:hAnsi="宋体"/>
                <w:sz w:val="24"/>
              </w:rPr>
              <w:t>涡旋空气压缩机</w:t>
            </w:r>
          </w:p>
        </w:tc>
        <w:tc>
          <w:tcPr>
            <w:tcW w:w="4619" w:type="dxa"/>
            <w:tcBorders>
              <w:bottom w:val="single" w:sz="8" w:space="0" w:color="000000"/>
              <w:right w:val="single" w:sz="8" w:space="0" w:color="000000"/>
            </w:tcBorders>
            <w:tcMar>
              <w:top w:w="0" w:type="dxa"/>
              <w:left w:w="0" w:type="dxa"/>
              <w:bottom w:w="0" w:type="dxa"/>
              <w:right w:w="0" w:type="dxa"/>
            </w:tcMar>
            <w:vAlign w:val="center"/>
          </w:tcPr>
          <w:p w:rsidR="0041001A" w:rsidRDefault="005B7A09">
            <w:pPr>
              <w:jc w:val="center"/>
            </w:pPr>
            <w:r>
              <w:rPr>
                <w:rFonts w:ascii="Times New Roman" w:hAnsi="Times New Roman"/>
                <w:sz w:val="24"/>
              </w:rPr>
              <w:t> </w:t>
            </w:r>
            <w:r>
              <w:rPr>
                <w:noProof/>
              </w:rPr>
              <w:drawing>
                <wp:inline distT="0" distB="0" distL="0" distR="0">
                  <wp:extent cx="2257425" cy="199072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a:picLocks noChangeAspect="1" noChangeArrowheads="1"/>
                          </pic:cNvPicPr>
                        </pic:nvPicPr>
                        <pic:blipFill>
                          <a:blip r:embed="rId19"/>
                          <a:srcRect/>
                          <a:stretch>
                            <a:fillRect/>
                          </a:stretch>
                        </pic:blipFill>
                        <pic:spPr bwMode="auto">
                          <a:xfrm>
                            <a:off x="0" y="0"/>
                            <a:ext cx="2257425" cy="1990725"/>
                          </a:xfrm>
                          <a:prstGeom prst="rect">
                            <a:avLst/>
                          </a:prstGeom>
                        </pic:spPr>
                      </pic:pic>
                    </a:graphicData>
                  </a:graphic>
                </wp:inline>
              </w:drawing>
            </w:r>
            <w:r>
              <w:rPr>
                <w:rFonts w:ascii="Times New Roman" w:hAnsi="Times New Roman"/>
                <w:sz w:val="24"/>
              </w:rPr>
              <w:t> </w:t>
            </w:r>
          </w:p>
        </w:tc>
        <w:tc>
          <w:tcPr>
            <w:tcW w:w="1698" w:type="dxa"/>
            <w:tcBorders>
              <w:bottom w:val="single" w:sz="8" w:space="0" w:color="000000"/>
              <w:right w:val="single" w:sz="8" w:space="0" w:color="000000"/>
            </w:tcBorders>
            <w:tcMar>
              <w:top w:w="0" w:type="dxa"/>
              <w:left w:w="0" w:type="dxa"/>
              <w:bottom w:w="0" w:type="dxa"/>
              <w:right w:w="0" w:type="dxa"/>
            </w:tcMar>
            <w:vAlign w:val="center"/>
          </w:tcPr>
          <w:p w:rsidR="0041001A" w:rsidRDefault="005B7A09">
            <w:pPr>
              <w:jc w:val="both"/>
            </w:pPr>
            <w:r>
              <w:rPr>
                <w:rFonts w:ascii="宋体" w:hAnsi="宋体"/>
                <w:sz w:val="24"/>
              </w:rPr>
              <w:t>洁净无油，极致静音。</w:t>
            </w:r>
          </w:p>
        </w:tc>
        <w:tc>
          <w:tcPr>
            <w:tcW w:w="1725" w:type="dxa"/>
            <w:tcBorders>
              <w:bottom w:val="single" w:sz="8" w:space="0" w:color="000000"/>
              <w:right w:val="single" w:sz="8" w:space="0" w:color="000000"/>
            </w:tcBorders>
            <w:tcMar>
              <w:top w:w="0" w:type="dxa"/>
              <w:left w:w="0" w:type="dxa"/>
              <w:bottom w:w="0" w:type="dxa"/>
              <w:right w:w="0" w:type="dxa"/>
            </w:tcMar>
            <w:vAlign w:val="center"/>
          </w:tcPr>
          <w:p w:rsidR="0041001A" w:rsidRDefault="005B7A09">
            <w:pPr>
              <w:jc w:val="both"/>
            </w:pPr>
            <w:r>
              <w:rPr>
                <w:rFonts w:ascii="宋体" w:hAnsi="宋体"/>
                <w:sz w:val="24"/>
              </w:rPr>
              <w:t>实验室、医院等场所，精密电子、食品饮料等行业。</w:t>
            </w:r>
          </w:p>
        </w:tc>
      </w:tr>
    </w:tbl>
    <w:p w:rsidR="0041001A" w:rsidRDefault="005B7A09">
      <w:pPr>
        <w:ind w:firstLine="481"/>
        <w:jc w:val="both"/>
      </w:pPr>
      <w:r>
        <w:rPr>
          <w:rFonts w:ascii="宋体" w:hAnsi="宋体"/>
          <w:b/>
          <w:sz w:val="24"/>
        </w:rPr>
        <w:t>②螺杆式压缩机系列</w:t>
      </w:r>
      <w:r>
        <w:rPr>
          <w:rFonts w:ascii="Times New Roman" w:hAnsi="Times New Roman"/>
          <w:b/>
          <w:sz w:val="24"/>
        </w:rPr>
        <w:t xml:space="preserve"> </w:t>
      </w:r>
    </w:p>
    <w:p w:rsidR="0041001A" w:rsidRDefault="005B7A09">
      <w:pPr>
        <w:ind w:firstLine="479"/>
        <w:jc w:val="both"/>
      </w:pPr>
      <w:r>
        <w:rPr>
          <w:rFonts w:ascii="宋体" w:hAnsi="宋体"/>
          <w:sz w:val="24"/>
        </w:rPr>
        <w:t>公司螺杆式空气压缩机以永磁变频螺杆空压机为主，具有高可靠性、高能效以及噪音小等特点。</w:t>
      </w:r>
    </w:p>
    <w:p w:rsidR="0041001A" w:rsidRDefault="005B7A09">
      <w:pPr>
        <w:ind w:firstLine="479"/>
        <w:jc w:val="both"/>
      </w:pPr>
      <w:r>
        <w:rPr>
          <w:rFonts w:ascii="Times New Roman" w:hAnsi="Times New Roman"/>
          <w:b/>
          <w:sz w:val="24"/>
        </w:rPr>
        <w:t> </w:t>
      </w:r>
    </w:p>
    <w:tbl>
      <w:tblPr>
        <w:tblStyle w:val="a3"/>
        <w:tblW w:w="0" w:type="auto"/>
        <w:tblLayout w:type="fixed"/>
        <w:tblCellMar>
          <w:left w:w="0" w:type="dxa"/>
          <w:right w:w="0" w:type="dxa"/>
        </w:tblCellMar>
        <w:tblLook w:val="04A0" w:firstRow="1" w:lastRow="0" w:firstColumn="1" w:lastColumn="0" w:noHBand="0" w:noVBand="1"/>
      </w:tblPr>
      <w:tblGrid>
        <w:gridCol w:w="1570"/>
        <w:gridCol w:w="4677"/>
        <w:gridCol w:w="1701"/>
        <w:gridCol w:w="1709"/>
      </w:tblGrid>
      <w:tr w:rsidR="0041001A" w:rsidTr="00BB5515">
        <w:tc>
          <w:tcPr>
            <w:tcW w:w="157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产品品类</w:t>
            </w:r>
          </w:p>
        </w:tc>
        <w:tc>
          <w:tcPr>
            <w:tcW w:w="4677"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产品外观结构</w:t>
            </w:r>
          </w:p>
        </w:tc>
        <w:tc>
          <w:tcPr>
            <w:tcW w:w="1701"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产品性能</w:t>
            </w:r>
          </w:p>
        </w:tc>
        <w:tc>
          <w:tcPr>
            <w:tcW w:w="1709"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应用领域</w:t>
            </w:r>
          </w:p>
        </w:tc>
      </w:tr>
      <w:tr w:rsidR="0041001A" w:rsidTr="00BB5515">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二级压缩永磁变频螺杆空气压缩机（ZLS-2iC系列）</w:t>
            </w:r>
          </w:p>
        </w:tc>
        <w:tc>
          <w:tcPr>
            <w:tcW w:w="4677"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noProof/>
              </w:rPr>
              <w:drawing>
                <wp:inline distT="0" distB="0" distL="0" distR="0">
                  <wp:extent cx="2228850" cy="187642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20"/>
                          <a:srcRect/>
                          <a:stretch>
                            <a:fillRect/>
                          </a:stretch>
                        </pic:blipFill>
                        <pic:spPr bwMode="auto">
                          <a:xfrm>
                            <a:off x="0" y="0"/>
                            <a:ext cx="2228850" cy="1876425"/>
                          </a:xfrm>
                          <a:prstGeom prst="rect">
                            <a:avLst/>
                          </a:prstGeom>
                        </pic:spPr>
                      </pic:pic>
                    </a:graphicData>
                  </a:graphic>
                </wp:inline>
              </w:drawing>
            </w:r>
            <w:r>
              <w:rPr>
                <w:rFonts w:ascii="宋体" w:hAnsi="宋体"/>
                <w:sz w:val="24"/>
              </w:rPr>
              <w:t xml:space="preserve">  </w:t>
            </w:r>
          </w:p>
        </w:tc>
        <w:tc>
          <w:tcPr>
            <w:tcW w:w="170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采用二级压缩螺杆机头，水冷却永磁电机，双级压缩相比一级压缩更节能，可以替代传统高耗能产品，达到节能减排的效果。</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化工、汽车、电子、纺织、机械加工、新能源、集成电路SA-CVD、PE—CVD等行业</w:t>
            </w:r>
          </w:p>
        </w:tc>
      </w:tr>
      <w:tr w:rsidR="0041001A" w:rsidTr="00BB5515">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永磁变频螺杆空气压缩机（ZLS-Hi+系列）</w:t>
            </w:r>
          </w:p>
        </w:tc>
        <w:tc>
          <w:tcPr>
            <w:tcW w:w="4677"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 </w:t>
            </w:r>
            <w:r>
              <w:rPr>
                <w:noProof/>
              </w:rPr>
              <w:drawing>
                <wp:inline distT="0" distB="0" distL="0" distR="0">
                  <wp:extent cx="2295525" cy="1952624"/>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a:picLocks noChangeAspect="1" noChangeArrowheads="1"/>
                          </pic:cNvPicPr>
                        </pic:nvPicPr>
                        <pic:blipFill>
                          <a:blip r:embed="rId21"/>
                          <a:srcRect/>
                          <a:stretch>
                            <a:fillRect/>
                          </a:stretch>
                        </pic:blipFill>
                        <pic:spPr bwMode="auto">
                          <a:xfrm>
                            <a:off x="0" y="0"/>
                            <a:ext cx="2295525" cy="1952624"/>
                          </a:xfrm>
                          <a:prstGeom prst="rect">
                            <a:avLst/>
                          </a:prstGeom>
                        </pic:spPr>
                      </pic:pic>
                    </a:graphicData>
                  </a:graphic>
                </wp:inline>
              </w:drawing>
            </w:r>
            <w:r>
              <w:rPr>
                <w:rFonts w:ascii="宋体" w:hAnsi="宋体"/>
                <w:sz w:val="24"/>
              </w:rPr>
              <w:t> </w:t>
            </w:r>
          </w:p>
        </w:tc>
        <w:tc>
          <w:tcPr>
            <w:tcW w:w="170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采用一级压缩螺杆机头，低转速大排量，可以应用于多种大中型企业工况</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化工、汽车、电子、纺织、机械加工等行业</w:t>
            </w:r>
          </w:p>
        </w:tc>
      </w:tr>
      <w:tr w:rsidR="0041001A" w:rsidTr="00BB5515">
        <w:tc>
          <w:tcPr>
            <w:tcW w:w="1570" w:type="dxa"/>
            <w:vMerge w:val="restart"/>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lastRenderedPageBreak/>
              <w:t>永磁变频螺杆空气压缩机（福星系列）</w:t>
            </w:r>
          </w:p>
        </w:tc>
        <w:tc>
          <w:tcPr>
            <w:tcW w:w="4677"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ind w:firstLine="238"/>
              <w:jc w:val="center"/>
            </w:pPr>
            <w:r>
              <w:rPr>
                <w:noProof/>
              </w:rPr>
              <w:drawing>
                <wp:inline distT="0" distB="0" distL="0" distR="0">
                  <wp:extent cx="2228850" cy="207645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22"/>
                          <a:srcRect/>
                          <a:stretch>
                            <a:fillRect/>
                          </a:stretch>
                        </pic:blipFill>
                        <pic:spPr bwMode="auto">
                          <a:xfrm>
                            <a:off x="0" y="0"/>
                            <a:ext cx="2228850" cy="2076450"/>
                          </a:xfrm>
                          <a:prstGeom prst="rect">
                            <a:avLst/>
                          </a:prstGeom>
                        </pic:spPr>
                      </pic:pic>
                    </a:graphicData>
                  </a:graphic>
                </wp:inline>
              </w:drawing>
            </w:r>
            <w:r>
              <w:rPr>
                <w:rFonts w:ascii="宋体" w:hAnsi="宋体"/>
                <w:sz w:val="24"/>
              </w:rPr>
              <w:t xml:space="preserve">  </w:t>
            </w:r>
          </w:p>
        </w:tc>
        <w:tc>
          <w:tcPr>
            <w:tcW w:w="170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采用油冷式永磁电机，搭配高效节能螺杆主机，广泛应用于多种工况。</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汽保行业、激光切割机行业、机械加工、汽车、电子等行业</w:t>
            </w:r>
          </w:p>
        </w:tc>
      </w:tr>
      <w:tr w:rsidR="0041001A" w:rsidTr="00BB5515">
        <w:tc>
          <w:tcPr>
            <w:tcW w:w="1570" w:type="dxa"/>
            <w:vMerge/>
            <w:tcBorders>
              <w:top w:val="single" w:sz="8" w:space="0" w:color="000000"/>
              <w:left w:val="single" w:sz="8" w:space="0" w:color="000000"/>
              <w:bottom w:val="single" w:sz="8" w:space="0" w:color="000000"/>
              <w:right w:val="single" w:sz="8" w:space="0" w:color="000000"/>
            </w:tcBorders>
          </w:tcPr>
          <w:p w:rsidR="0041001A" w:rsidRDefault="0041001A"/>
        </w:tc>
        <w:tc>
          <w:tcPr>
            <w:tcW w:w="4677"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ind w:firstLine="238"/>
              <w:jc w:val="center"/>
            </w:pPr>
            <w:r>
              <w:rPr>
                <w:rFonts w:ascii="宋体" w:hAnsi="宋体"/>
                <w:sz w:val="24"/>
              </w:rPr>
              <w:t> </w:t>
            </w:r>
            <w:r>
              <w:rPr>
                <w:noProof/>
              </w:rPr>
              <w:drawing>
                <wp:inline distT="0" distB="0" distL="0" distR="0">
                  <wp:extent cx="1914525" cy="1838324"/>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a:picLocks noChangeAspect="1" noChangeArrowheads="1"/>
                          </pic:cNvPicPr>
                        </pic:nvPicPr>
                        <pic:blipFill>
                          <a:blip r:embed="rId23"/>
                          <a:srcRect/>
                          <a:stretch>
                            <a:fillRect/>
                          </a:stretch>
                        </pic:blipFill>
                        <pic:spPr bwMode="auto">
                          <a:xfrm>
                            <a:off x="0" y="0"/>
                            <a:ext cx="1914525" cy="1838324"/>
                          </a:xfrm>
                          <a:prstGeom prst="rect">
                            <a:avLst/>
                          </a:prstGeom>
                        </pic:spPr>
                      </pic:pic>
                    </a:graphicData>
                  </a:graphic>
                </wp:inline>
              </w:drawing>
            </w:r>
            <w:r>
              <w:rPr>
                <w:rFonts w:ascii="宋体" w:hAnsi="宋体"/>
                <w:sz w:val="24"/>
              </w:rPr>
              <w:t> </w:t>
            </w:r>
          </w:p>
        </w:tc>
        <w:tc>
          <w:tcPr>
            <w:tcW w:w="170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采用油冷式永磁电机，搭配高效节能螺杆主机，广泛应用于多种工况。</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汽保行业、激光切割机行业、机械加工、汽车、电子等行业</w:t>
            </w:r>
          </w:p>
        </w:tc>
      </w:tr>
      <w:tr w:rsidR="0041001A" w:rsidTr="00BB5515">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永磁变频螺杆空气压缩机（LS激光切割机系列）</w:t>
            </w:r>
          </w:p>
        </w:tc>
        <w:tc>
          <w:tcPr>
            <w:tcW w:w="4677"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 </w:t>
            </w:r>
            <w:r>
              <w:rPr>
                <w:noProof/>
              </w:rPr>
              <w:drawing>
                <wp:inline distT="0" distB="0" distL="0" distR="0">
                  <wp:extent cx="1762125" cy="1600200"/>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24"/>
                          <a:srcRect/>
                          <a:stretch>
                            <a:fillRect/>
                          </a:stretch>
                        </pic:blipFill>
                        <pic:spPr bwMode="auto">
                          <a:xfrm>
                            <a:off x="0" y="0"/>
                            <a:ext cx="1762125" cy="1600200"/>
                          </a:xfrm>
                          <a:prstGeom prst="rect">
                            <a:avLst/>
                          </a:prstGeom>
                        </pic:spPr>
                      </pic:pic>
                    </a:graphicData>
                  </a:graphic>
                </wp:inline>
              </w:drawing>
            </w:r>
            <w:r>
              <w:rPr>
                <w:rFonts w:ascii="宋体" w:hAnsi="宋体"/>
                <w:sz w:val="24"/>
              </w:rPr>
              <w:t> </w:t>
            </w:r>
          </w:p>
        </w:tc>
        <w:tc>
          <w:tcPr>
            <w:tcW w:w="170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针对激光切割机行业设计，搭配一体式储气罐设计，可以解决激光切割机配套针对空气质量、环境紧凑等需求</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激光切割机行业</w:t>
            </w:r>
          </w:p>
        </w:tc>
      </w:tr>
      <w:tr w:rsidR="0041001A" w:rsidTr="00BB5515">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永磁变频螺杆空气压缩机（ZLS-Di系列）</w:t>
            </w:r>
          </w:p>
        </w:tc>
        <w:tc>
          <w:tcPr>
            <w:tcW w:w="4677"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noProof/>
              </w:rPr>
              <w:drawing>
                <wp:inline distT="0" distB="0" distL="0" distR="0">
                  <wp:extent cx="2276475" cy="149542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a:picLocks noChangeAspect="1" noChangeArrowheads="1"/>
                          </pic:cNvPicPr>
                        </pic:nvPicPr>
                        <pic:blipFill>
                          <a:blip r:embed="rId25"/>
                          <a:srcRect/>
                          <a:stretch>
                            <a:fillRect/>
                          </a:stretch>
                        </pic:blipFill>
                        <pic:spPr bwMode="auto">
                          <a:xfrm>
                            <a:off x="0" y="0"/>
                            <a:ext cx="2276475" cy="1495425"/>
                          </a:xfrm>
                          <a:prstGeom prst="rect">
                            <a:avLst/>
                          </a:prstGeom>
                        </pic:spPr>
                      </pic:pic>
                    </a:graphicData>
                  </a:graphic>
                </wp:inline>
              </w:drawing>
            </w:r>
            <w:r>
              <w:rPr>
                <w:rFonts w:ascii="宋体" w:hAnsi="宋体"/>
                <w:sz w:val="24"/>
              </w:rPr>
              <w:t xml:space="preserve">  </w:t>
            </w:r>
          </w:p>
        </w:tc>
        <w:tc>
          <w:tcPr>
            <w:tcW w:w="170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低压大排量系列，针对纺织、玻璃、水泥等低压力行业，更加省电节能。</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纺织、玻璃、水泥等行业</w:t>
            </w:r>
          </w:p>
        </w:tc>
      </w:tr>
    </w:tbl>
    <w:p w:rsidR="0041001A" w:rsidRDefault="005B7A09">
      <w:pPr>
        <w:ind w:firstLine="479"/>
        <w:jc w:val="both"/>
      </w:pPr>
      <w:r>
        <w:rPr>
          <w:rFonts w:ascii="Times New Roman" w:hAnsi="Times New Roman"/>
          <w:sz w:val="24"/>
        </w:rPr>
        <w:t> </w:t>
      </w:r>
      <w:r>
        <w:rPr>
          <w:rFonts w:ascii="宋体" w:hAnsi="宋体"/>
          <w:b/>
          <w:sz w:val="24"/>
        </w:rPr>
        <w:t>③真空泵系列</w:t>
      </w:r>
    </w:p>
    <w:p w:rsidR="0041001A" w:rsidRDefault="005B7A09">
      <w:pPr>
        <w:ind w:firstLine="479"/>
        <w:jc w:val="both"/>
      </w:pPr>
      <w:r>
        <w:rPr>
          <w:rFonts w:ascii="宋体" w:hAnsi="宋体"/>
          <w:sz w:val="24"/>
        </w:rPr>
        <w:t>公司的真空泵，采用永磁电机，比传统真空泵省电节能，可以降低用户使用成本。</w:t>
      </w:r>
    </w:p>
    <w:tbl>
      <w:tblPr>
        <w:tblStyle w:val="a3"/>
        <w:tblW w:w="0" w:type="auto"/>
        <w:tblCellMar>
          <w:left w:w="0" w:type="dxa"/>
          <w:right w:w="0" w:type="dxa"/>
        </w:tblCellMar>
        <w:tblLook w:val="04A0" w:firstRow="1" w:lastRow="0" w:firstColumn="1" w:lastColumn="0" w:noHBand="0" w:noVBand="1"/>
      </w:tblPr>
      <w:tblGrid>
        <w:gridCol w:w="1614"/>
        <w:gridCol w:w="4599"/>
        <w:gridCol w:w="1715"/>
        <w:gridCol w:w="1729"/>
      </w:tblGrid>
      <w:tr w:rsidR="0041001A">
        <w:tc>
          <w:tcPr>
            <w:tcW w:w="1689"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产品品类</w:t>
            </w:r>
          </w:p>
        </w:tc>
        <w:tc>
          <w:tcPr>
            <w:tcW w:w="4603"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产品外观结构</w:t>
            </w:r>
          </w:p>
        </w:tc>
        <w:tc>
          <w:tcPr>
            <w:tcW w:w="1781"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产品性能</w:t>
            </w:r>
          </w:p>
        </w:tc>
        <w:tc>
          <w:tcPr>
            <w:tcW w:w="1781"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应用领域</w:t>
            </w:r>
          </w:p>
        </w:tc>
      </w:tr>
      <w:tr w:rsidR="0041001A">
        <w:tc>
          <w:tcPr>
            <w:tcW w:w="1689"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lastRenderedPageBreak/>
              <w:t>有油真空泵</w:t>
            </w:r>
          </w:p>
        </w:tc>
        <w:tc>
          <w:tcPr>
            <w:tcW w:w="4603"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Times New Roman" w:hAnsi="Times New Roman"/>
                <w:sz w:val="24"/>
              </w:rPr>
              <w:t> </w:t>
            </w:r>
            <w:r>
              <w:rPr>
                <w:noProof/>
              </w:rPr>
              <w:drawing>
                <wp:inline distT="0" distB="0" distL="0" distR="0">
                  <wp:extent cx="2257425" cy="170497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26"/>
                          <a:srcRect/>
                          <a:stretch>
                            <a:fillRect/>
                          </a:stretch>
                        </pic:blipFill>
                        <pic:spPr bwMode="auto">
                          <a:xfrm>
                            <a:off x="0" y="0"/>
                            <a:ext cx="2257425" cy="1704975"/>
                          </a:xfrm>
                          <a:prstGeom prst="rect">
                            <a:avLst/>
                          </a:prstGeom>
                        </pic:spPr>
                      </pic:pic>
                    </a:graphicData>
                  </a:graphic>
                </wp:inline>
              </w:drawing>
            </w:r>
            <w:r>
              <w:rPr>
                <w:rFonts w:ascii="Times New Roman" w:hAnsi="Times New Roman"/>
                <w:sz w:val="24"/>
              </w:rPr>
              <w:t> </w:t>
            </w:r>
          </w:p>
        </w:tc>
        <w:tc>
          <w:tcPr>
            <w:tcW w:w="178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永磁变频智能运行，高效率、节能省电；结构紧凑、占用面积小、无需使用放置设备。</w:t>
            </w:r>
          </w:p>
        </w:tc>
        <w:tc>
          <w:tcPr>
            <w:tcW w:w="178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spacing w:before="40" w:after="40"/>
              <w:jc w:val="both"/>
            </w:pPr>
            <w:r>
              <w:rPr>
                <w:rFonts w:ascii="宋体" w:hAnsi="宋体"/>
                <w:sz w:val="24"/>
              </w:rPr>
              <w:t>电子真空夹持、吸附，化学和医药真空制造流程、易拉罐真空罐装等工业领域。</w:t>
            </w:r>
          </w:p>
        </w:tc>
      </w:tr>
      <w:tr w:rsidR="0041001A">
        <w:tc>
          <w:tcPr>
            <w:tcW w:w="1689"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无油真空泵</w:t>
            </w:r>
          </w:p>
        </w:tc>
        <w:tc>
          <w:tcPr>
            <w:tcW w:w="4603"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Times New Roman" w:hAnsi="Times New Roman"/>
                <w:sz w:val="24"/>
              </w:rPr>
              <w:t> </w:t>
            </w:r>
            <w:r>
              <w:rPr>
                <w:noProof/>
              </w:rPr>
              <w:drawing>
                <wp:inline distT="0" distB="0" distL="0" distR="0">
                  <wp:extent cx="2762250" cy="160020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a:picLocks noChangeAspect="1" noChangeArrowheads="1"/>
                          </pic:cNvPicPr>
                        </pic:nvPicPr>
                        <pic:blipFill>
                          <a:blip r:embed="rId27"/>
                          <a:srcRect/>
                          <a:stretch>
                            <a:fillRect/>
                          </a:stretch>
                        </pic:blipFill>
                        <pic:spPr bwMode="auto">
                          <a:xfrm>
                            <a:off x="0" y="0"/>
                            <a:ext cx="2762250" cy="1600200"/>
                          </a:xfrm>
                          <a:prstGeom prst="rect">
                            <a:avLst/>
                          </a:prstGeom>
                        </pic:spPr>
                      </pic:pic>
                    </a:graphicData>
                  </a:graphic>
                </wp:inline>
              </w:drawing>
            </w:r>
            <w:r>
              <w:rPr>
                <w:rFonts w:ascii="Times New Roman" w:hAnsi="Times New Roman"/>
                <w:sz w:val="24"/>
              </w:rPr>
              <w:t> </w:t>
            </w:r>
          </w:p>
        </w:tc>
        <w:tc>
          <w:tcPr>
            <w:tcW w:w="178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抽速快、纯净无油；永磁变频智能运行，高效率、节能省电；长时间高稳定的真空度，粉尘不卡壳。</w:t>
            </w:r>
          </w:p>
        </w:tc>
        <w:tc>
          <w:tcPr>
            <w:tcW w:w="178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新能源、集成电路</w:t>
            </w:r>
            <w:r>
              <w:rPr>
                <w:rFonts w:ascii="Times New Roman" w:hAnsi="Times New Roman"/>
                <w:sz w:val="24"/>
              </w:rPr>
              <w:t>SA-CVD</w:t>
            </w:r>
            <w:r>
              <w:rPr>
                <w:rFonts w:ascii="宋体" w:hAnsi="宋体"/>
                <w:sz w:val="24"/>
              </w:rPr>
              <w:t>、</w:t>
            </w:r>
            <w:r>
              <w:rPr>
                <w:rFonts w:ascii="Times New Roman" w:hAnsi="Times New Roman"/>
                <w:sz w:val="24"/>
              </w:rPr>
              <w:t>PE—CVD</w:t>
            </w:r>
            <w:r>
              <w:rPr>
                <w:rFonts w:ascii="宋体" w:hAnsi="宋体"/>
                <w:sz w:val="24"/>
              </w:rPr>
              <w:t>等行业领域</w:t>
            </w:r>
          </w:p>
        </w:tc>
      </w:tr>
    </w:tbl>
    <w:p w:rsidR="0041001A" w:rsidRDefault="005B7A09">
      <w:pPr>
        <w:ind w:firstLine="479"/>
        <w:jc w:val="both"/>
      </w:pPr>
      <w:r>
        <w:rPr>
          <w:rFonts w:ascii="Times New Roman" w:hAnsi="Times New Roman"/>
          <w:sz w:val="24"/>
        </w:rPr>
        <w:t> </w:t>
      </w:r>
      <w:r>
        <w:rPr>
          <w:rFonts w:ascii="宋体" w:hAnsi="宋体"/>
          <w:b/>
          <w:sz w:val="24"/>
        </w:rPr>
        <w:t>④离心式压缩机系列</w:t>
      </w:r>
    </w:p>
    <w:p w:rsidR="0041001A" w:rsidRDefault="005B7A09">
      <w:pPr>
        <w:ind w:firstLine="479"/>
        <w:jc w:val="both"/>
      </w:pPr>
      <w:r>
        <w:rPr>
          <w:rFonts w:ascii="宋体" w:hAnsi="宋体"/>
          <w:sz w:val="24"/>
        </w:rPr>
        <w:t>公司的离心式压缩机，具有纯净无油、大流量、永磁变频更节能等特点。</w:t>
      </w:r>
    </w:p>
    <w:tbl>
      <w:tblPr>
        <w:tblStyle w:val="a3"/>
        <w:tblW w:w="9657" w:type="dxa"/>
        <w:tblCellMar>
          <w:left w:w="0" w:type="dxa"/>
          <w:right w:w="0" w:type="dxa"/>
        </w:tblCellMar>
        <w:tblLook w:val="04A0" w:firstRow="1" w:lastRow="0" w:firstColumn="1" w:lastColumn="0" w:noHBand="0" w:noVBand="1"/>
      </w:tblPr>
      <w:tblGrid>
        <w:gridCol w:w="1667"/>
        <w:gridCol w:w="4468"/>
        <w:gridCol w:w="1761"/>
        <w:gridCol w:w="1761"/>
      </w:tblGrid>
      <w:tr w:rsidR="0041001A">
        <w:tc>
          <w:tcPr>
            <w:tcW w:w="1667"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产品品类</w:t>
            </w:r>
          </w:p>
        </w:tc>
        <w:tc>
          <w:tcPr>
            <w:tcW w:w="4468"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产品外观结构</w:t>
            </w:r>
          </w:p>
        </w:tc>
        <w:tc>
          <w:tcPr>
            <w:tcW w:w="1761"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产品性能</w:t>
            </w:r>
          </w:p>
        </w:tc>
        <w:tc>
          <w:tcPr>
            <w:tcW w:w="1761"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应用领域</w:t>
            </w:r>
          </w:p>
        </w:tc>
      </w:tr>
      <w:tr w:rsidR="0041001A">
        <w:tc>
          <w:tcPr>
            <w:tcW w:w="1667"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离心鼓风机</w:t>
            </w:r>
          </w:p>
        </w:tc>
        <w:tc>
          <w:tcPr>
            <w:tcW w:w="4468"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Times New Roman" w:hAnsi="Times New Roman"/>
                <w:sz w:val="24"/>
              </w:rPr>
              <w:t> </w:t>
            </w:r>
            <w:r>
              <w:rPr>
                <w:noProof/>
              </w:rPr>
              <w:drawing>
                <wp:inline distT="0" distB="0" distL="0" distR="0">
                  <wp:extent cx="2152650" cy="2266950"/>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28"/>
                          <a:srcRect/>
                          <a:stretch>
                            <a:fillRect/>
                          </a:stretch>
                        </pic:blipFill>
                        <pic:spPr bwMode="auto">
                          <a:xfrm>
                            <a:off x="0" y="0"/>
                            <a:ext cx="2152650" cy="2266950"/>
                          </a:xfrm>
                          <a:prstGeom prst="rect">
                            <a:avLst/>
                          </a:prstGeom>
                        </pic:spPr>
                      </pic:pic>
                    </a:graphicData>
                  </a:graphic>
                </wp:inline>
              </w:drawing>
            </w:r>
            <w:r>
              <w:rPr>
                <w:rFonts w:ascii="Times New Roman" w:hAnsi="Times New Roman"/>
                <w:sz w:val="24"/>
              </w:rPr>
              <w:t> </w:t>
            </w:r>
          </w:p>
        </w:tc>
        <w:tc>
          <w:tcPr>
            <w:tcW w:w="176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采用空悬浮轴承，高效三元流叶轮，搭配永磁电机，高稳定性、高效率。</w:t>
            </w:r>
          </w:p>
        </w:tc>
        <w:tc>
          <w:tcPr>
            <w:tcW w:w="176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曝气、印刷、生物发酵等行业领域。</w:t>
            </w:r>
          </w:p>
        </w:tc>
      </w:tr>
      <w:tr w:rsidR="0041001A">
        <w:tc>
          <w:tcPr>
            <w:tcW w:w="1667"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离心增氧机</w:t>
            </w:r>
          </w:p>
        </w:tc>
        <w:tc>
          <w:tcPr>
            <w:tcW w:w="4468"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Times New Roman" w:hAnsi="Times New Roman"/>
                <w:sz w:val="24"/>
              </w:rPr>
              <w:t> </w:t>
            </w:r>
            <w:r>
              <w:rPr>
                <w:noProof/>
              </w:rPr>
              <w:drawing>
                <wp:inline distT="0" distB="0" distL="0" distR="0">
                  <wp:extent cx="2295525" cy="225742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a:picLocks noChangeAspect="1" noChangeArrowheads="1"/>
                          </pic:cNvPicPr>
                        </pic:nvPicPr>
                        <pic:blipFill>
                          <a:blip r:embed="rId29"/>
                          <a:srcRect/>
                          <a:stretch>
                            <a:fillRect/>
                          </a:stretch>
                        </pic:blipFill>
                        <pic:spPr bwMode="auto">
                          <a:xfrm>
                            <a:off x="0" y="0"/>
                            <a:ext cx="2295525" cy="2257425"/>
                          </a:xfrm>
                          <a:prstGeom prst="rect">
                            <a:avLst/>
                          </a:prstGeom>
                        </pic:spPr>
                      </pic:pic>
                    </a:graphicData>
                  </a:graphic>
                </wp:inline>
              </w:drawing>
            </w:r>
            <w:r>
              <w:rPr>
                <w:rFonts w:ascii="Times New Roman" w:hAnsi="Times New Roman"/>
                <w:sz w:val="24"/>
              </w:rPr>
              <w:t> </w:t>
            </w:r>
          </w:p>
        </w:tc>
        <w:tc>
          <w:tcPr>
            <w:tcW w:w="176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快速增氧，流量大，曝气稳定均匀，比传统罗茨增氧机稳定、节能。</w:t>
            </w:r>
          </w:p>
        </w:tc>
        <w:tc>
          <w:tcPr>
            <w:tcW w:w="1761"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水产养殖业、水刀等行业领域。</w:t>
            </w:r>
          </w:p>
        </w:tc>
      </w:tr>
    </w:tbl>
    <w:p w:rsidR="0041001A" w:rsidRDefault="005B7A09">
      <w:pPr>
        <w:ind w:firstLine="481"/>
        <w:jc w:val="both"/>
      </w:pPr>
      <w:r>
        <w:rPr>
          <w:rFonts w:ascii="宋体" w:hAnsi="宋体"/>
          <w:b/>
          <w:sz w:val="24"/>
        </w:rPr>
        <w:t>⑤活塞式压缩机系列</w:t>
      </w:r>
    </w:p>
    <w:p w:rsidR="0041001A" w:rsidRDefault="005B7A09">
      <w:pPr>
        <w:ind w:firstLine="479"/>
        <w:jc w:val="both"/>
      </w:pPr>
      <w:r>
        <w:rPr>
          <w:rFonts w:ascii="宋体" w:hAnsi="宋体"/>
          <w:sz w:val="24"/>
        </w:rPr>
        <w:t>活塞式压缩机是通过活塞在气缸中做往复运动来压缩气体的轴驱动压缩机，公司活塞</w:t>
      </w:r>
      <w:r>
        <w:rPr>
          <w:rFonts w:ascii="宋体" w:hAnsi="宋体"/>
          <w:sz w:val="24"/>
        </w:rPr>
        <w:lastRenderedPageBreak/>
        <w:t>式压缩机设备可满足客户不同压力的需求。公司活塞机拥有多个型号，多种系列，产品系列丰富，可以满足各个工业产业需求。</w:t>
      </w:r>
    </w:p>
    <w:tbl>
      <w:tblPr>
        <w:tblStyle w:val="a3"/>
        <w:tblW w:w="0" w:type="auto"/>
        <w:tblCellMar>
          <w:left w:w="0" w:type="dxa"/>
          <w:right w:w="0" w:type="dxa"/>
        </w:tblCellMar>
        <w:tblLook w:val="04A0" w:firstRow="1" w:lastRow="0" w:firstColumn="1" w:lastColumn="0" w:noHBand="0" w:noVBand="1"/>
      </w:tblPr>
      <w:tblGrid>
        <w:gridCol w:w="1570"/>
        <w:gridCol w:w="4536"/>
        <w:gridCol w:w="1842"/>
        <w:gridCol w:w="1709"/>
      </w:tblGrid>
      <w:tr w:rsidR="0041001A" w:rsidTr="00BB5515">
        <w:trPr>
          <w:trHeight w:val="312"/>
        </w:trPr>
        <w:tc>
          <w:tcPr>
            <w:tcW w:w="157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产品品类</w:t>
            </w:r>
          </w:p>
        </w:tc>
        <w:tc>
          <w:tcPr>
            <w:tcW w:w="4536"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产品外观结构</w:t>
            </w:r>
          </w:p>
        </w:tc>
        <w:tc>
          <w:tcPr>
            <w:tcW w:w="1842"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产品性能</w:t>
            </w:r>
          </w:p>
        </w:tc>
        <w:tc>
          <w:tcPr>
            <w:tcW w:w="1709"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应用领域</w:t>
            </w:r>
          </w:p>
        </w:tc>
      </w:tr>
      <w:tr w:rsidR="0041001A" w:rsidTr="00BB5515">
        <w:trPr>
          <w:trHeight w:val="3155"/>
        </w:trPr>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常压系列</w:t>
            </w:r>
          </w:p>
        </w:tc>
        <w:tc>
          <w:tcPr>
            <w:tcW w:w="453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Times New Roman" w:hAnsi="Times New Roman"/>
                <w:sz w:val="24"/>
              </w:rPr>
              <w:t> </w:t>
            </w:r>
            <w:r>
              <w:rPr>
                <w:noProof/>
              </w:rPr>
              <w:drawing>
                <wp:inline distT="0" distB="0" distL="0" distR="0">
                  <wp:extent cx="1962150" cy="1581150"/>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r:embed="rId30"/>
                          <a:srcRect/>
                          <a:stretch>
                            <a:fillRect/>
                          </a:stretch>
                        </pic:blipFill>
                        <pic:spPr bwMode="auto">
                          <a:xfrm>
                            <a:off x="0" y="0"/>
                            <a:ext cx="1962150" cy="1581150"/>
                          </a:xfrm>
                          <a:prstGeom prst="rect">
                            <a:avLst/>
                          </a:prstGeom>
                        </pic:spPr>
                      </pic:pic>
                    </a:graphicData>
                  </a:graphic>
                </wp:inline>
              </w:drawing>
            </w:r>
          </w:p>
          <w:p w:rsidR="0041001A" w:rsidRDefault="005B7A09">
            <w:pPr>
              <w:jc w:val="center"/>
            </w:pPr>
            <w:r>
              <w:rPr>
                <w:rFonts w:ascii="Times New Roman" w:hAnsi="Times New Roman"/>
                <w:sz w:val="24"/>
              </w:rPr>
              <w:t xml:space="preserve">  </w:t>
            </w:r>
          </w:p>
        </w:tc>
        <w:tc>
          <w:tcPr>
            <w:tcW w:w="1842"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结构紧凑，外形美观，品种齐全，适合各用户的需求；电控与气控结合一起，运行平稳、使用寿命长、噪音小。</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汽车、冶金、化工等行业领域</w:t>
            </w:r>
          </w:p>
          <w:p w:rsidR="0041001A" w:rsidRDefault="005B7A09">
            <w:pPr>
              <w:jc w:val="both"/>
            </w:pPr>
            <w:r>
              <w:rPr>
                <w:rFonts w:ascii="Times New Roman" w:hAnsi="Times New Roman"/>
                <w:sz w:val="24"/>
              </w:rPr>
              <w:t> </w:t>
            </w:r>
          </w:p>
        </w:tc>
      </w:tr>
      <w:tr w:rsidR="0041001A" w:rsidTr="00BB5515">
        <w:trPr>
          <w:trHeight w:val="312"/>
        </w:trPr>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无油系列</w:t>
            </w:r>
          </w:p>
        </w:tc>
        <w:tc>
          <w:tcPr>
            <w:tcW w:w="453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Times New Roman" w:hAnsi="Times New Roman"/>
                <w:sz w:val="24"/>
              </w:rPr>
              <w:t> </w:t>
            </w:r>
            <w:r>
              <w:rPr>
                <w:noProof/>
              </w:rPr>
              <w:drawing>
                <wp:inline distT="0" distB="0" distL="0" distR="0">
                  <wp:extent cx="1866899" cy="1457325"/>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a:picLocks noChangeAspect="1" noChangeArrowheads="1"/>
                          </pic:cNvPicPr>
                        </pic:nvPicPr>
                        <pic:blipFill>
                          <a:blip r:embed="rId31"/>
                          <a:srcRect/>
                          <a:stretch>
                            <a:fillRect/>
                          </a:stretch>
                        </pic:blipFill>
                        <pic:spPr bwMode="auto">
                          <a:xfrm>
                            <a:off x="0" y="0"/>
                            <a:ext cx="1866899" cy="1457325"/>
                          </a:xfrm>
                          <a:prstGeom prst="rect">
                            <a:avLst/>
                          </a:prstGeom>
                        </pic:spPr>
                      </pic:pic>
                    </a:graphicData>
                  </a:graphic>
                </wp:inline>
              </w:drawing>
            </w:r>
            <w:r>
              <w:rPr>
                <w:rFonts w:ascii="Times New Roman" w:hAnsi="Times New Roman"/>
                <w:sz w:val="24"/>
              </w:rPr>
              <w:t> </w:t>
            </w:r>
          </w:p>
        </w:tc>
        <w:tc>
          <w:tcPr>
            <w:tcW w:w="1842"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采用自润滑活塞环和密封轴承，整个压缩过程没有润滑油的参与，提供洁净的压缩空气；经严密的动平衡校正，使空压机运转更平稳，寿命更长。</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医疗、食品等行业领域。</w:t>
            </w:r>
          </w:p>
        </w:tc>
      </w:tr>
      <w:tr w:rsidR="0041001A" w:rsidTr="00BB5515">
        <w:trPr>
          <w:trHeight w:val="2531"/>
        </w:trPr>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高压系列</w:t>
            </w:r>
          </w:p>
        </w:tc>
        <w:tc>
          <w:tcPr>
            <w:tcW w:w="453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Times New Roman" w:hAnsi="Times New Roman"/>
                <w:sz w:val="24"/>
              </w:rPr>
              <w:t xml:space="preserve">  </w:t>
            </w:r>
          </w:p>
          <w:p w:rsidR="0041001A" w:rsidRDefault="005B7A09">
            <w:pPr>
              <w:jc w:val="center"/>
            </w:pPr>
            <w:r>
              <w:rPr>
                <w:rFonts w:ascii="Times New Roman" w:hAnsi="Times New Roman"/>
                <w:sz w:val="24"/>
              </w:rPr>
              <w:t> </w:t>
            </w:r>
            <w:r>
              <w:rPr>
                <w:noProof/>
              </w:rPr>
              <w:drawing>
                <wp:inline distT="0" distB="0" distL="0" distR="0">
                  <wp:extent cx="2105025" cy="129540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noChangeArrowheads="1"/>
                          </pic:cNvPicPr>
                        </pic:nvPicPr>
                        <pic:blipFill>
                          <a:blip r:embed="rId32"/>
                          <a:srcRect/>
                          <a:stretch>
                            <a:fillRect/>
                          </a:stretch>
                        </pic:blipFill>
                        <pic:spPr bwMode="auto">
                          <a:xfrm>
                            <a:off x="0" y="0"/>
                            <a:ext cx="2105025" cy="1295400"/>
                          </a:xfrm>
                          <a:prstGeom prst="rect">
                            <a:avLst/>
                          </a:prstGeom>
                        </pic:spPr>
                      </pic:pic>
                    </a:graphicData>
                  </a:graphic>
                </wp:inline>
              </w:drawing>
            </w:r>
          </w:p>
        </w:tc>
        <w:tc>
          <w:tcPr>
            <w:tcW w:w="1842"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行程大，转速低，压缩比小，效率更高、更省电；高级的中间冷却缓冲器，提高了压缩机效率，降低了电能消耗，降低了排气温度</w:t>
            </w:r>
            <w:r>
              <w:rPr>
                <w:rFonts w:ascii="Times New Roman" w:hAnsi="Times New Roman"/>
                <w:sz w:val="24"/>
              </w:rPr>
              <w:t xml:space="preserve"> </w:t>
            </w:r>
            <w:r>
              <w:rPr>
                <w:rFonts w:ascii="宋体" w:hAnsi="宋体"/>
                <w:sz w:val="24"/>
              </w:rPr>
              <w:t>，</w:t>
            </w:r>
            <w:r>
              <w:rPr>
                <w:rFonts w:ascii="Times New Roman" w:hAnsi="Times New Roman"/>
                <w:sz w:val="24"/>
              </w:rPr>
              <w:t xml:space="preserve"> </w:t>
            </w:r>
            <w:r>
              <w:rPr>
                <w:rFonts w:ascii="宋体" w:hAnsi="宋体"/>
                <w:sz w:val="24"/>
              </w:rPr>
              <w:t>延长了使用寿命。</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汽车、冶金、化工等行业领域。</w:t>
            </w:r>
          </w:p>
          <w:p w:rsidR="0041001A" w:rsidRDefault="005B7A09">
            <w:pPr>
              <w:jc w:val="both"/>
            </w:pPr>
            <w:r>
              <w:rPr>
                <w:rFonts w:ascii="Times New Roman" w:hAnsi="Times New Roman"/>
                <w:sz w:val="24"/>
              </w:rPr>
              <w:t> </w:t>
            </w:r>
          </w:p>
        </w:tc>
      </w:tr>
      <w:tr w:rsidR="0041001A" w:rsidTr="00BB5515">
        <w:trPr>
          <w:trHeight w:val="312"/>
        </w:trPr>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水冷却活塞系列</w:t>
            </w:r>
          </w:p>
        </w:tc>
        <w:tc>
          <w:tcPr>
            <w:tcW w:w="453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noProof/>
              </w:rPr>
              <w:drawing>
                <wp:inline distT="0" distB="0" distL="0" distR="0">
                  <wp:extent cx="2009774" cy="160972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a:picLocks noChangeAspect="1" noChangeArrowheads="1"/>
                          </pic:cNvPicPr>
                        </pic:nvPicPr>
                        <pic:blipFill>
                          <a:blip r:embed="rId33"/>
                          <a:srcRect/>
                          <a:stretch>
                            <a:fillRect/>
                          </a:stretch>
                        </pic:blipFill>
                        <pic:spPr bwMode="auto">
                          <a:xfrm>
                            <a:off x="0" y="0"/>
                            <a:ext cx="2009774" cy="1609725"/>
                          </a:xfrm>
                          <a:prstGeom prst="rect">
                            <a:avLst/>
                          </a:prstGeom>
                        </pic:spPr>
                      </pic:pic>
                    </a:graphicData>
                  </a:graphic>
                </wp:inline>
              </w:drawing>
            </w:r>
            <w:r>
              <w:rPr>
                <w:rFonts w:ascii="Times New Roman" w:hAnsi="Times New Roman"/>
                <w:sz w:val="24"/>
              </w:rPr>
              <w:t xml:space="preserve">  </w:t>
            </w:r>
          </w:p>
        </w:tc>
        <w:tc>
          <w:tcPr>
            <w:tcW w:w="1842"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卓越的水冷设计，</w:t>
            </w:r>
            <w:r>
              <w:rPr>
                <w:rFonts w:ascii="Times New Roman" w:hAnsi="Times New Roman"/>
                <w:sz w:val="24"/>
              </w:rPr>
              <w:t xml:space="preserve"> </w:t>
            </w:r>
            <w:r>
              <w:rPr>
                <w:rFonts w:ascii="宋体" w:hAnsi="宋体"/>
                <w:sz w:val="24"/>
              </w:rPr>
              <w:t>让活塞机处于低温状态，各配件寿命长，排气温度低。水冷型，冷却可靠，尤其适用于粉尘较多的场合。</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汽车、冶金、化工等行业领域。</w:t>
            </w:r>
          </w:p>
        </w:tc>
      </w:tr>
    </w:tbl>
    <w:p w:rsidR="0041001A" w:rsidRDefault="005B7A09">
      <w:pPr>
        <w:ind w:firstLine="479"/>
        <w:jc w:val="both"/>
      </w:pPr>
      <w:r>
        <w:rPr>
          <w:rFonts w:ascii="Times New Roman" w:hAnsi="Times New Roman"/>
          <w:sz w:val="24"/>
        </w:rPr>
        <w:t> </w:t>
      </w:r>
      <w:r>
        <w:rPr>
          <w:rFonts w:ascii="宋体" w:hAnsi="宋体"/>
          <w:b/>
          <w:sz w:val="24"/>
        </w:rPr>
        <w:t>⑥配套设备系列</w:t>
      </w:r>
    </w:p>
    <w:p w:rsidR="0041001A" w:rsidRDefault="005B7A09">
      <w:pPr>
        <w:ind w:firstLine="479"/>
        <w:jc w:val="both"/>
      </w:pPr>
      <w:r>
        <w:rPr>
          <w:rFonts w:ascii="宋体" w:hAnsi="宋体"/>
          <w:sz w:val="24"/>
        </w:rPr>
        <w:t>配套设备包括冷冻式干燥机、吸附式干燥机等设备，该等设备用于对螺杆式空压机产生的压缩空气进行除水、除油等处理。</w:t>
      </w:r>
    </w:p>
    <w:tbl>
      <w:tblPr>
        <w:tblStyle w:val="a3"/>
        <w:tblW w:w="0" w:type="auto"/>
        <w:tblCellMar>
          <w:left w:w="0" w:type="dxa"/>
          <w:right w:w="0" w:type="dxa"/>
        </w:tblCellMar>
        <w:tblLook w:val="04A0" w:firstRow="1" w:lastRow="0" w:firstColumn="1" w:lastColumn="0" w:noHBand="0" w:noVBand="1"/>
      </w:tblPr>
      <w:tblGrid>
        <w:gridCol w:w="1570"/>
        <w:gridCol w:w="4536"/>
        <w:gridCol w:w="1842"/>
        <w:gridCol w:w="1709"/>
      </w:tblGrid>
      <w:tr w:rsidR="0041001A" w:rsidTr="00BB5515">
        <w:trPr>
          <w:trHeight w:val="312"/>
        </w:trPr>
        <w:tc>
          <w:tcPr>
            <w:tcW w:w="1570"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产品品类</w:t>
            </w:r>
          </w:p>
        </w:tc>
        <w:tc>
          <w:tcPr>
            <w:tcW w:w="4536"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产品外观结构</w:t>
            </w:r>
          </w:p>
        </w:tc>
        <w:tc>
          <w:tcPr>
            <w:tcW w:w="1842"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产品性能</w:t>
            </w:r>
          </w:p>
        </w:tc>
        <w:tc>
          <w:tcPr>
            <w:tcW w:w="1709"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应用领域</w:t>
            </w:r>
          </w:p>
        </w:tc>
      </w:tr>
      <w:tr w:rsidR="0041001A" w:rsidTr="00BB5515">
        <w:trPr>
          <w:trHeight w:val="4091"/>
        </w:trPr>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lastRenderedPageBreak/>
              <w:t>冷冻式干燥机</w:t>
            </w:r>
          </w:p>
        </w:tc>
        <w:tc>
          <w:tcPr>
            <w:tcW w:w="453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Times New Roman" w:hAnsi="Times New Roman"/>
                <w:sz w:val="24"/>
              </w:rPr>
              <w:t> </w:t>
            </w:r>
          </w:p>
          <w:p w:rsidR="0041001A" w:rsidRDefault="005B7A09">
            <w:pPr>
              <w:jc w:val="center"/>
            </w:pPr>
            <w:r>
              <w:rPr>
                <w:rFonts w:ascii="Times New Roman" w:hAnsi="Times New Roman"/>
                <w:sz w:val="24"/>
              </w:rPr>
              <w:t> </w:t>
            </w:r>
            <w:r>
              <w:rPr>
                <w:noProof/>
              </w:rPr>
              <w:drawing>
                <wp:inline distT="0" distB="0" distL="0" distR="0">
                  <wp:extent cx="2190750" cy="2095499"/>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a:picLocks noChangeAspect="1" noChangeArrowheads="1"/>
                          </pic:cNvPicPr>
                        </pic:nvPicPr>
                        <pic:blipFill>
                          <a:blip r:embed="rId34"/>
                          <a:srcRect/>
                          <a:stretch>
                            <a:fillRect/>
                          </a:stretch>
                        </pic:blipFill>
                        <pic:spPr bwMode="auto">
                          <a:xfrm>
                            <a:off x="0" y="0"/>
                            <a:ext cx="2190750" cy="2095499"/>
                          </a:xfrm>
                          <a:prstGeom prst="rect">
                            <a:avLst/>
                          </a:prstGeom>
                        </pic:spPr>
                      </pic:pic>
                    </a:graphicData>
                  </a:graphic>
                </wp:inline>
              </w:drawing>
            </w:r>
            <w:r>
              <w:rPr>
                <w:rFonts w:ascii="Times New Roman" w:hAnsi="Times New Roman"/>
                <w:sz w:val="24"/>
              </w:rPr>
              <w:t> </w:t>
            </w:r>
          </w:p>
        </w:tc>
        <w:tc>
          <w:tcPr>
            <w:tcW w:w="1842"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有效降低空气露点，去除压缩空气中的水分，产品稳定，可以应用于多种工况。</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空压机后部处理设备。</w:t>
            </w:r>
          </w:p>
        </w:tc>
      </w:tr>
      <w:tr w:rsidR="0041001A" w:rsidTr="00BB5515">
        <w:trPr>
          <w:trHeight w:val="312"/>
        </w:trPr>
        <w:tc>
          <w:tcPr>
            <w:tcW w:w="1570"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吸附式干燥机</w:t>
            </w:r>
          </w:p>
        </w:tc>
        <w:tc>
          <w:tcPr>
            <w:tcW w:w="453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Times New Roman" w:hAnsi="Times New Roman"/>
                <w:sz w:val="24"/>
              </w:rPr>
              <w:t> </w:t>
            </w:r>
            <w:r>
              <w:rPr>
                <w:noProof/>
              </w:rPr>
              <w:drawing>
                <wp:inline distT="0" distB="0" distL="0" distR="0">
                  <wp:extent cx="2390775" cy="316230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a:picLocks noChangeAspect="1" noChangeArrowheads="1"/>
                          </pic:cNvPicPr>
                        </pic:nvPicPr>
                        <pic:blipFill>
                          <a:blip r:embed="rId35"/>
                          <a:srcRect/>
                          <a:stretch>
                            <a:fillRect/>
                          </a:stretch>
                        </pic:blipFill>
                        <pic:spPr bwMode="auto">
                          <a:xfrm>
                            <a:off x="0" y="0"/>
                            <a:ext cx="2390775" cy="3162300"/>
                          </a:xfrm>
                          <a:prstGeom prst="rect">
                            <a:avLst/>
                          </a:prstGeom>
                        </pic:spPr>
                      </pic:pic>
                    </a:graphicData>
                  </a:graphic>
                </wp:inline>
              </w:drawing>
            </w:r>
            <w:r>
              <w:rPr>
                <w:rFonts w:ascii="Times New Roman" w:hAnsi="Times New Roman"/>
                <w:sz w:val="24"/>
              </w:rPr>
              <w:t> </w:t>
            </w:r>
          </w:p>
        </w:tc>
        <w:tc>
          <w:tcPr>
            <w:tcW w:w="1842"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适用于对压缩空气有更高的露点要求的工况。</w:t>
            </w:r>
          </w:p>
        </w:tc>
        <w:tc>
          <w:tcPr>
            <w:tcW w:w="1709"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空压机后部处理设备。</w:t>
            </w:r>
          </w:p>
        </w:tc>
      </w:tr>
    </w:tbl>
    <w:p w:rsidR="0041001A" w:rsidRDefault="005B7A09">
      <w:pPr>
        <w:ind w:firstLine="479"/>
        <w:jc w:val="both"/>
      </w:pPr>
      <w:r>
        <w:rPr>
          <w:rFonts w:ascii="Times New Roman" w:hAnsi="Times New Roman"/>
          <w:sz w:val="24"/>
        </w:rPr>
        <w:t> </w:t>
      </w:r>
      <w:r>
        <w:rPr>
          <w:rFonts w:ascii="宋体" w:hAnsi="宋体"/>
          <w:b/>
          <w:sz w:val="24"/>
        </w:rPr>
        <w:t>⑦配件系列</w:t>
      </w:r>
    </w:p>
    <w:tbl>
      <w:tblPr>
        <w:tblStyle w:val="a3"/>
        <w:tblW w:w="0" w:type="auto"/>
        <w:tblCellMar>
          <w:left w:w="0" w:type="dxa"/>
          <w:right w:w="0" w:type="dxa"/>
        </w:tblCellMar>
        <w:tblLook w:val="04A0" w:firstRow="1" w:lastRow="0" w:firstColumn="1" w:lastColumn="0" w:noHBand="0" w:noVBand="1"/>
      </w:tblPr>
      <w:tblGrid>
        <w:gridCol w:w="1837"/>
        <w:gridCol w:w="5786"/>
        <w:gridCol w:w="2034"/>
      </w:tblGrid>
      <w:tr w:rsidR="0041001A">
        <w:tc>
          <w:tcPr>
            <w:tcW w:w="1895" w:type="dxa"/>
            <w:tcBorders>
              <w:top w:val="single" w:sz="8" w:space="0" w:color="000000"/>
              <w:left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产品品类</w:t>
            </w:r>
          </w:p>
        </w:tc>
        <w:tc>
          <w:tcPr>
            <w:tcW w:w="5886"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产品外观结构</w:t>
            </w:r>
          </w:p>
        </w:tc>
        <w:tc>
          <w:tcPr>
            <w:tcW w:w="2073" w:type="dxa"/>
            <w:tcBorders>
              <w:top w:val="single" w:sz="8" w:space="0" w:color="000000"/>
              <w:bottom w:val="single" w:sz="8" w:space="0" w:color="000000"/>
              <w:right w:val="single" w:sz="8" w:space="0" w:color="000000"/>
            </w:tcBorders>
            <w:tcMar>
              <w:top w:w="10" w:type="dxa"/>
              <w:left w:w="10" w:type="dxa"/>
              <w:bottom w:w="10" w:type="dxa"/>
              <w:right w:w="10" w:type="dxa"/>
            </w:tcMar>
          </w:tcPr>
          <w:p w:rsidR="0041001A" w:rsidRDefault="005B7A09">
            <w:pPr>
              <w:jc w:val="center"/>
            </w:pPr>
            <w:r>
              <w:rPr>
                <w:rFonts w:ascii="宋体" w:hAnsi="宋体"/>
                <w:b/>
                <w:sz w:val="24"/>
              </w:rPr>
              <w:t>产品性能</w:t>
            </w:r>
          </w:p>
        </w:tc>
      </w:tr>
      <w:tr w:rsidR="0041001A">
        <w:tc>
          <w:tcPr>
            <w:tcW w:w="189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精密过滤器</w:t>
            </w:r>
          </w:p>
        </w:tc>
        <w:tc>
          <w:tcPr>
            <w:tcW w:w="588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Times New Roman" w:hAnsi="Times New Roman"/>
                <w:sz w:val="24"/>
              </w:rPr>
              <w:t> </w:t>
            </w:r>
            <w:r>
              <w:rPr>
                <w:noProof/>
              </w:rPr>
              <w:drawing>
                <wp:inline distT="0" distB="0" distL="0" distR="0">
                  <wp:extent cx="1485900" cy="155257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a:picLocks noChangeAspect="1" noChangeArrowheads="1"/>
                          </pic:cNvPicPr>
                        </pic:nvPicPr>
                        <pic:blipFill>
                          <a:blip r:embed="rId36"/>
                          <a:srcRect/>
                          <a:stretch>
                            <a:fillRect/>
                          </a:stretch>
                        </pic:blipFill>
                        <pic:spPr bwMode="auto">
                          <a:xfrm>
                            <a:off x="0" y="0"/>
                            <a:ext cx="1485900" cy="1552575"/>
                          </a:xfrm>
                          <a:prstGeom prst="rect">
                            <a:avLst/>
                          </a:prstGeom>
                        </pic:spPr>
                      </pic:pic>
                    </a:graphicData>
                  </a:graphic>
                </wp:inline>
              </w:drawing>
            </w:r>
            <w:r>
              <w:rPr>
                <w:rFonts w:ascii="Times New Roman" w:hAnsi="Times New Roman"/>
                <w:sz w:val="24"/>
              </w:rPr>
              <w:t> </w:t>
            </w:r>
          </w:p>
        </w:tc>
        <w:tc>
          <w:tcPr>
            <w:tcW w:w="2073"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过滤精度高达</w:t>
            </w:r>
            <w:r>
              <w:rPr>
                <w:rFonts w:ascii="Times New Roman" w:hAnsi="Times New Roman"/>
                <w:sz w:val="24"/>
              </w:rPr>
              <w:t>0.01um</w:t>
            </w:r>
            <w:r>
              <w:rPr>
                <w:rFonts w:ascii="宋体" w:hAnsi="宋体"/>
                <w:sz w:val="24"/>
              </w:rPr>
              <w:t>，过滤精度高，滤芯孔径均匀；</w:t>
            </w:r>
          </w:p>
          <w:p w:rsidR="0041001A" w:rsidRDefault="005B7A09">
            <w:pPr>
              <w:jc w:val="both"/>
            </w:pPr>
            <w:r>
              <w:rPr>
                <w:rFonts w:ascii="宋体" w:hAnsi="宋体"/>
                <w:sz w:val="24"/>
              </w:rPr>
              <w:t>过滤阻力小，通量大、截污能力强，使用寿命长。</w:t>
            </w:r>
          </w:p>
        </w:tc>
      </w:tr>
      <w:tr w:rsidR="0041001A">
        <w:tc>
          <w:tcPr>
            <w:tcW w:w="189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油过滤器</w:t>
            </w:r>
          </w:p>
        </w:tc>
        <w:tc>
          <w:tcPr>
            <w:tcW w:w="588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Times New Roman" w:hAnsi="Times New Roman"/>
                <w:sz w:val="24"/>
              </w:rPr>
              <w:t> </w:t>
            </w:r>
            <w:r>
              <w:rPr>
                <w:noProof/>
              </w:rPr>
              <w:drawing>
                <wp:inline distT="0" distB="0" distL="0" distR="0">
                  <wp:extent cx="1190625" cy="1228725"/>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a:picLocks noChangeAspect="1" noChangeArrowheads="1"/>
                          </pic:cNvPicPr>
                        </pic:nvPicPr>
                        <pic:blipFill>
                          <a:blip r:embed="rId37"/>
                          <a:srcRect/>
                          <a:stretch>
                            <a:fillRect/>
                          </a:stretch>
                        </pic:blipFill>
                        <pic:spPr bwMode="auto">
                          <a:xfrm>
                            <a:off x="0" y="0"/>
                            <a:ext cx="1190625" cy="1228725"/>
                          </a:xfrm>
                          <a:prstGeom prst="rect">
                            <a:avLst/>
                          </a:prstGeom>
                        </pic:spPr>
                      </pic:pic>
                    </a:graphicData>
                  </a:graphic>
                </wp:inline>
              </w:drawing>
            </w:r>
            <w:r>
              <w:rPr>
                <w:rFonts w:ascii="Times New Roman" w:hAnsi="Times New Roman"/>
                <w:sz w:val="24"/>
              </w:rPr>
              <w:t> </w:t>
            </w:r>
          </w:p>
        </w:tc>
        <w:tc>
          <w:tcPr>
            <w:tcW w:w="2073"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捷豹专用，优质滤芯，高效过滤润滑油中杂质，延长机体寿命。</w:t>
            </w:r>
          </w:p>
        </w:tc>
      </w:tr>
      <w:tr w:rsidR="0041001A">
        <w:tc>
          <w:tcPr>
            <w:tcW w:w="189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lastRenderedPageBreak/>
              <w:t>油气分离器</w:t>
            </w:r>
          </w:p>
        </w:tc>
        <w:tc>
          <w:tcPr>
            <w:tcW w:w="588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Times New Roman" w:hAnsi="Times New Roman"/>
                <w:sz w:val="24"/>
              </w:rPr>
              <w:t> </w:t>
            </w:r>
            <w:r>
              <w:rPr>
                <w:noProof/>
              </w:rPr>
              <w:drawing>
                <wp:inline distT="0" distB="0" distL="0" distR="0">
                  <wp:extent cx="1866899" cy="1066800"/>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a:picLocks noChangeAspect="1" noChangeArrowheads="1"/>
                          </pic:cNvPicPr>
                        </pic:nvPicPr>
                        <pic:blipFill>
                          <a:blip r:embed="rId38"/>
                          <a:srcRect/>
                          <a:stretch>
                            <a:fillRect/>
                          </a:stretch>
                        </pic:blipFill>
                        <pic:spPr bwMode="auto">
                          <a:xfrm>
                            <a:off x="0" y="0"/>
                            <a:ext cx="1866899" cy="1066800"/>
                          </a:xfrm>
                          <a:prstGeom prst="rect">
                            <a:avLst/>
                          </a:prstGeom>
                        </pic:spPr>
                      </pic:pic>
                    </a:graphicData>
                  </a:graphic>
                </wp:inline>
              </w:drawing>
            </w:r>
            <w:r>
              <w:rPr>
                <w:rFonts w:ascii="Times New Roman" w:hAnsi="Times New Roman"/>
                <w:sz w:val="24"/>
              </w:rPr>
              <w:t> </w:t>
            </w:r>
          </w:p>
        </w:tc>
        <w:tc>
          <w:tcPr>
            <w:tcW w:w="2073"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含油量控制在</w:t>
            </w:r>
            <w:r>
              <w:rPr>
                <w:rFonts w:ascii="Times New Roman" w:hAnsi="Times New Roman"/>
                <w:sz w:val="24"/>
              </w:rPr>
              <w:t>3PPM</w:t>
            </w:r>
            <w:r>
              <w:rPr>
                <w:rFonts w:ascii="宋体" w:hAnsi="宋体"/>
                <w:sz w:val="24"/>
              </w:rPr>
              <w:t>以下，压缩空气含油量控制在理想范围内，滤油效果极佳。</w:t>
            </w:r>
          </w:p>
        </w:tc>
      </w:tr>
      <w:tr w:rsidR="0041001A">
        <w:tc>
          <w:tcPr>
            <w:tcW w:w="1895" w:type="dxa"/>
            <w:tcBorders>
              <w:left w:val="single" w:sz="8" w:space="0" w:color="000000"/>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rFonts w:ascii="宋体" w:hAnsi="宋体"/>
                <w:sz w:val="24"/>
              </w:rPr>
              <w:t>空气过滤器</w:t>
            </w:r>
          </w:p>
        </w:tc>
        <w:tc>
          <w:tcPr>
            <w:tcW w:w="5886"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center"/>
            </w:pPr>
            <w:r>
              <w:rPr>
                <w:noProof/>
              </w:rPr>
              <w:drawing>
                <wp:inline distT="0" distB="0" distL="0" distR="0">
                  <wp:extent cx="1524000" cy="1295400"/>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a:picLocks noChangeAspect="1" noChangeArrowheads="1"/>
                          </pic:cNvPicPr>
                        </pic:nvPicPr>
                        <pic:blipFill>
                          <a:blip r:embed="rId39"/>
                          <a:srcRect/>
                          <a:stretch>
                            <a:fillRect/>
                          </a:stretch>
                        </pic:blipFill>
                        <pic:spPr bwMode="auto">
                          <a:xfrm>
                            <a:off x="0" y="0"/>
                            <a:ext cx="1524000" cy="1295400"/>
                          </a:xfrm>
                          <a:prstGeom prst="rect">
                            <a:avLst/>
                          </a:prstGeom>
                        </pic:spPr>
                      </pic:pic>
                    </a:graphicData>
                  </a:graphic>
                </wp:inline>
              </w:drawing>
            </w:r>
            <w:r>
              <w:rPr>
                <w:rFonts w:ascii="Times New Roman" w:hAnsi="Times New Roman"/>
                <w:sz w:val="24"/>
              </w:rPr>
              <w:t xml:space="preserve">  </w:t>
            </w:r>
          </w:p>
        </w:tc>
        <w:tc>
          <w:tcPr>
            <w:tcW w:w="2073" w:type="dxa"/>
            <w:tcBorders>
              <w:bottom w:val="single" w:sz="8" w:space="0" w:color="000000"/>
              <w:right w:val="single" w:sz="8" w:space="0" w:color="000000"/>
            </w:tcBorders>
            <w:tcMar>
              <w:top w:w="10" w:type="dxa"/>
              <w:left w:w="10" w:type="dxa"/>
              <w:bottom w:w="10" w:type="dxa"/>
              <w:right w:w="10" w:type="dxa"/>
            </w:tcMar>
            <w:vAlign w:val="center"/>
          </w:tcPr>
          <w:p w:rsidR="0041001A" w:rsidRDefault="005B7A09">
            <w:pPr>
              <w:jc w:val="both"/>
            </w:pPr>
            <w:r>
              <w:rPr>
                <w:rFonts w:ascii="宋体" w:hAnsi="宋体"/>
                <w:sz w:val="24"/>
              </w:rPr>
              <w:t>过滤空气中的细微粒子，保证进入压缩室的空气质量，延长主机寿命。</w:t>
            </w:r>
          </w:p>
        </w:tc>
      </w:tr>
    </w:tbl>
    <w:p w:rsidR="0041001A" w:rsidRDefault="005B7A09">
      <w:pPr>
        <w:ind w:firstLine="481"/>
        <w:jc w:val="both"/>
      </w:pPr>
      <w:r>
        <w:rPr>
          <w:rFonts w:ascii="宋体" w:hAnsi="宋体"/>
          <w:b/>
          <w:sz w:val="24"/>
        </w:rPr>
        <w:t>（</w:t>
      </w:r>
      <w:r>
        <w:rPr>
          <w:rFonts w:ascii="Times New Roman" w:hAnsi="Times New Roman"/>
          <w:b/>
          <w:sz w:val="24"/>
        </w:rPr>
        <w:t>3</w:t>
      </w:r>
      <w:r>
        <w:rPr>
          <w:rFonts w:ascii="宋体" w:hAnsi="宋体"/>
          <w:b/>
          <w:sz w:val="24"/>
        </w:rPr>
        <w:t>）主要经营模式</w:t>
      </w:r>
    </w:p>
    <w:p w:rsidR="0041001A" w:rsidRDefault="005B7A09">
      <w:pPr>
        <w:ind w:firstLine="481"/>
        <w:jc w:val="both"/>
      </w:pPr>
      <w:r>
        <w:rPr>
          <w:rFonts w:ascii="Times New Roman" w:hAnsi="Times New Roman"/>
          <w:b/>
          <w:sz w:val="24"/>
        </w:rPr>
        <w:t>1</w:t>
      </w:r>
      <w:r>
        <w:rPr>
          <w:rFonts w:ascii="宋体" w:hAnsi="宋体"/>
          <w:b/>
          <w:sz w:val="24"/>
        </w:rPr>
        <w:t>、</w:t>
      </w:r>
      <w:r>
        <w:rPr>
          <w:rFonts w:ascii="Times New Roman" w:hAnsi="Times New Roman"/>
          <w:b/>
          <w:sz w:val="24"/>
        </w:rPr>
        <w:t xml:space="preserve"> </w:t>
      </w:r>
      <w:r>
        <w:rPr>
          <w:rFonts w:ascii="宋体" w:hAnsi="宋体"/>
          <w:b/>
          <w:sz w:val="24"/>
        </w:rPr>
        <w:t>研发模式</w:t>
      </w:r>
    </w:p>
    <w:p w:rsidR="0041001A" w:rsidRDefault="005B7A09">
      <w:pPr>
        <w:ind w:firstLine="479"/>
        <w:jc w:val="both"/>
      </w:pPr>
      <w:r>
        <w:rPr>
          <w:rFonts w:ascii="宋体" w:hAnsi="宋体"/>
          <w:sz w:val="24"/>
        </w:rPr>
        <w:t>公司研发工作以市场需求和公司战略规划为导向，通过对市场未来发展趋势的分析，确定市场需求较大的产品类型，有针对性地进行技术研究和产品研发。研发模式以自主研发为主，并在部分新产品开发方面与国内外技术型机构进行合作开发。公司研发部门根据公司总体规划和各部门反馈情况，制定研发规划、组织设计、</w:t>
      </w:r>
      <w:r>
        <w:rPr>
          <w:rFonts w:ascii="Times New Roman" w:hAnsi="Times New Roman"/>
          <w:sz w:val="24"/>
        </w:rPr>
        <w:t xml:space="preserve"> </w:t>
      </w:r>
      <w:r>
        <w:rPr>
          <w:rFonts w:ascii="宋体" w:hAnsi="宋体"/>
          <w:sz w:val="24"/>
        </w:rPr>
        <w:t>实施新设备、新技术的研发项目。</w:t>
      </w:r>
    </w:p>
    <w:p w:rsidR="0041001A" w:rsidRDefault="005B7A09">
      <w:pPr>
        <w:ind w:firstLine="481"/>
        <w:jc w:val="both"/>
      </w:pPr>
      <w:r>
        <w:rPr>
          <w:rFonts w:ascii="Times New Roman" w:hAnsi="Times New Roman"/>
          <w:b/>
          <w:sz w:val="24"/>
        </w:rPr>
        <w:t>2</w:t>
      </w:r>
      <w:r>
        <w:rPr>
          <w:rFonts w:ascii="宋体" w:hAnsi="宋体"/>
          <w:b/>
          <w:sz w:val="24"/>
        </w:rPr>
        <w:t>、采购模式</w:t>
      </w:r>
    </w:p>
    <w:p w:rsidR="0041001A" w:rsidRDefault="005B7A09">
      <w:pPr>
        <w:ind w:firstLine="479"/>
        <w:jc w:val="both"/>
      </w:pPr>
      <w:r>
        <w:rPr>
          <w:rFonts w:ascii="宋体" w:hAnsi="宋体"/>
          <w:sz w:val="24"/>
        </w:rPr>
        <w:t>公司采购模式为</w:t>
      </w:r>
      <w:r>
        <w:rPr>
          <w:rFonts w:ascii="Times New Roman" w:hAnsi="Times New Roman"/>
          <w:sz w:val="24"/>
        </w:rPr>
        <w:t>“</w:t>
      </w:r>
      <w:r>
        <w:rPr>
          <w:rFonts w:ascii="宋体" w:hAnsi="宋体"/>
          <w:sz w:val="24"/>
        </w:rPr>
        <w:t>按需采购</w:t>
      </w:r>
      <w:r>
        <w:rPr>
          <w:rFonts w:ascii="Times New Roman" w:hAnsi="Times New Roman"/>
          <w:sz w:val="24"/>
        </w:rPr>
        <w:t>”</w:t>
      </w:r>
      <w:r>
        <w:rPr>
          <w:rFonts w:ascii="宋体" w:hAnsi="宋体"/>
          <w:sz w:val="24"/>
        </w:rPr>
        <w:t>模式。生产部门根据具体订单需求和生产计划安排，制定出请购需求清单，采购部门根据请购需求生成采购订单，并通过公司的供应商平台将订单需求传递给各供应商，各供应商依照订单内容及时配送物料。</w:t>
      </w:r>
    </w:p>
    <w:p w:rsidR="0041001A" w:rsidRDefault="005B7A09">
      <w:pPr>
        <w:ind w:firstLine="481"/>
        <w:jc w:val="both"/>
      </w:pPr>
      <w:r>
        <w:rPr>
          <w:rFonts w:ascii="Times New Roman" w:hAnsi="Times New Roman"/>
          <w:b/>
          <w:sz w:val="24"/>
        </w:rPr>
        <w:t>3</w:t>
      </w:r>
      <w:r>
        <w:rPr>
          <w:rFonts w:ascii="宋体" w:hAnsi="宋体"/>
          <w:b/>
          <w:sz w:val="24"/>
        </w:rPr>
        <w:t>、生产模式</w:t>
      </w:r>
    </w:p>
    <w:p w:rsidR="0041001A" w:rsidRDefault="005B7A09">
      <w:pPr>
        <w:ind w:firstLine="479"/>
        <w:jc w:val="both"/>
      </w:pPr>
      <w:r>
        <w:rPr>
          <w:rFonts w:ascii="宋体" w:hAnsi="宋体"/>
          <w:sz w:val="24"/>
        </w:rPr>
        <w:t>结合自身与行业特点，公司采取</w:t>
      </w:r>
      <w:r>
        <w:rPr>
          <w:rFonts w:ascii="Times New Roman" w:hAnsi="Times New Roman"/>
          <w:sz w:val="24"/>
        </w:rPr>
        <w:t>“</w:t>
      </w:r>
      <w:r>
        <w:rPr>
          <w:rFonts w:ascii="宋体" w:hAnsi="宋体"/>
          <w:sz w:val="24"/>
        </w:rPr>
        <w:t>安全库存</w:t>
      </w:r>
      <w:r>
        <w:rPr>
          <w:rFonts w:ascii="Times New Roman" w:hAnsi="Times New Roman"/>
          <w:sz w:val="24"/>
        </w:rPr>
        <w:t>”</w:t>
      </w:r>
      <w:r>
        <w:rPr>
          <w:rFonts w:ascii="宋体" w:hAnsi="宋体"/>
          <w:sz w:val="24"/>
        </w:rPr>
        <w:t>与</w:t>
      </w:r>
      <w:r>
        <w:rPr>
          <w:rFonts w:ascii="Times New Roman" w:hAnsi="Times New Roman"/>
          <w:sz w:val="24"/>
        </w:rPr>
        <w:t>“</w:t>
      </w:r>
      <w:r>
        <w:rPr>
          <w:rFonts w:ascii="宋体" w:hAnsi="宋体"/>
          <w:sz w:val="24"/>
        </w:rPr>
        <w:t>订单生产</w:t>
      </w:r>
      <w:r>
        <w:rPr>
          <w:rFonts w:ascii="Times New Roman" w:hAnsi="Times New Roman"/>
          <w:sz w:val="24"/>
        </w:rPr>
        <w:t>”</w:t>
      </w:r>
      <w:r>
        <w:rPr>
          <w:rFonts w:ascii="宋体" w:hAnsi="宋体"/>
          <w:sz w:val="24"/>
        </w:rPr>
        <w:t>相结合的生产模式。为保证生产过程的有序进行以及按计划及时完成交货任务，公司建立相关制度，明确各环节的部门责任：计划课负责根据销售预测和客户订单的品种、规格、交期等要求编制生产进度计划和物料请购计划，并对生产计划的实施过程进行管控；采购部门根据物料请购计划进行采购；生产车间按流程生产，对于生产过程中出现的异常情况及时反馈；同时，公司还设置了品管课对产品质量全面把关。</w:t>
      </w:r>
    </w:p>
    <w:p w:rsidR="0041001A" w:rsidRDefault="005B7A09">
      <w:pPr>
        <w:ind w:firstLine="481"/>
        <w:jc w:val="both"/>
      </w:pPr>
      <w:r>
        <w:rPr>
          <w:rFonts w:ascii="Times New Roman" w:hAnsi="Times New Roman"/>
          <w:b/>
          <w:sz w:val="24"/>
        </w:rPr>
        <w:t>4</w:t>
      </w:r>
      <w:r>
        <w:rPr>
          <w:rFonts w:ascii="宋体" w:hAnsi="宋体"/>
          <w:b/>
          <w:sz w:val="24"/>
        </w:rPr>
        <w:t>、销售模式</w:t>
      </w:r>
    </w:p>
    <w:p w:rsidR="0041001A" w:rsidRDefault="005B7A09">
      <w:pPr>
        <w:ind w:firstLine="479"/>
        <w:jc w:val="both"/>
      </w:pPr>
      <w:r>
        <w:rPr>
          <w:rFonts w:ascii="宋体" w:hAnsi="宋体"/>
          <w:sz w:val="24"/>
        </w:rPr>
        <w:t>根据是否将产品直接销售给终端用户，公司的销售模式分为经销和直销。</w:t>
      </w:r>
    </w:p>
    <w:p w:rsidR="0041001A" w:rsidRDefault="005B7A09">
      <w:pPr>
        <w:ind w:firstLine="479"/>
        <w:jc w:val="both"/>
      </w:pPr>
      <w:r>
        <w:rPr>
          <w:rFonts w:ascii="宋体" w:hAnsi="宋体"/>
          <w:sz w:val="24"/>
        </w:rPr>
        <w:t>①</w:t>
      </w:r>
      <w:r>
        <w:rPr>
          <w:rFonts w:ascii="Times New Roman" w:hAnsi="Times New Roman"/>
          <w:sz w:val="24"/>
        </w:rPr>
        <w:t xml:space="preserve"> </w:t>
      </w:r>
      <w:r>
        <w:rPr>
          <w:rFonts w:ascii="宋体" w:hAnsi="宋体"/>
          <w:sz w:val="24"/>
        </w:rPr>
        <w:t>经销模式</w:t>
      </w:r>
      <w:r>
        <w:rPr>
          <w:rFonts w:ascii="Times New Roman" w:hAnsi="Times New Roman"/>
          <w:sz w:val="24"/>
        </w:rPr>
        <w:t xml:space="preserve"> </w:t>
      </w:r>
    </w:p>
    <w:p w:rsidR="0041001A" w:rsidRDefault="005B7A09">
      <w:pPr>
        <w:ind w:firstLine="479"/>
        <w:jc w:val="both"/>
      </w:pPr>
      <w:r>
        <w:rPr>
          <w:rFonts w:ascii="宋体" w:hAnsi="宋体"/>
          <w:sz w:val="24"/>
        </w:rPr>
        <w:t>经销模式是指公司与经销商签署买断式经销合同，将产品销售给经销商，经销商再将产品自行销售。</w:t>
      </w:r>
    </w:p>
    <w:p w:rsidR="0041001A" w:rsidRDefault="005B7A09">
      <w:pPr>
        <w:ind w:firstLine="479"/>
        <w:jc w:val="both"/>
      </w:pPr>
      <w:r>
        <w:rPr>
          <w:rFonts w:ascii="宋体" w:hAnsi="宋体"/>
          <w:sz w:val="24"/>
        </w:rPr>
        <w:t>空气压缩机下游应用领域广泛、客户群体庞大、分布范围广；作为工业生产的基础动力设备，空气压缩机售后保养维修需求较大，用户要求及时、专业的售后服务。针对空气压缩机行业的这些特点，公司主要采取经销的销售模式，由经销商开拓终端市场并就近向用户提供及时、专业的售后服务。</w:t>
      </w:r>
    </w:p>
    <w:p w:rsidR="0041001A" w:rsidRDefault="005B7A09">
      <w:pPr>
        <w:ind w:firstLine="479"/>
        <w:jc w:val="both"/>
      </w:pPr>
      <w:r>
        <w:rPr>
          <w:rFonts w:ascii="宋体" w:hAnsi="宋体"/>
          <w:sz w:val="24"/>
        </w:rPr>
        <w:t>②</w:t>
      </w:r>
      <w:r>
        <w:rPr>
          <w:rFonts w:ascii="Times New Roman" w:hAnsi="Times New Roman"/>
          <w:sz w:val="24"/>
        </w:rPr>
        <w:t xml:space="preserve"> </w:t>
      </w:r>
      <w:r>
        <w:rPr>
          <w:rFonts w:ascii="宋体" w:hAnsi="宋体"/>
          <w:sz w:val="24"/>
        </w:rPr>
        <w:t>直销模式</w:t>
      </w:r>
      <w:r>
        <w:rPr>
          <w:rFonts w:ascii="Times New Roman" w:hAnsi="Times New Roman"/>
          <w:sz w:val="24"/>
        </w:rPr>
        <w:t xml:space="preserve"> </w:t>
      </w:r>
    </w:p>
    <w:p w:rsidR="0041001A" w:rsidRDefault="005B7A09">
      <w:pPr>
        <w:ind w:firstLine="479"/>
        <w:jc w:val="both"/>
      </w:pPr>
      <w:r>
        <w:rPr>
          <w:rFonts w:ascii="宋体" w:hAnsi="宋体"/>
          <w:sz w:val="24"/>
        </w:rPr>
        <w:t>直销模式是指公司直接与使用公司产品的企业签署销售合同，并直接完成销售。少量终端大客户根据自身的信用政策情况、需求等直接与公司签订合同，通过直接合作，公司可以协助大客户在全国各地协调售后服务等各项需求。 </w:t>
      </w:r>
    </w:p>
    <w:p w:rsidR="0041001A" w:rsidRDefault="005B7A09">
      <w:pPr>
        <w:ind w:firstLine="481"/>
        <w:jc w:val="both"/>
      </w:pPr>
      <w:r>
        <w:rPr>
          <w:rFonts w:ascii="宋体" w:hAnsi="宋体"/>
          <w:b/>
          <w:sz w:val="24"/>
        </w:rPr>
        <w:t>（</w:t>
      </w:r>
      <w:r>
        <w:rPr>
          <w:rFonts w:ascii="Times New Roman" w:hAnsi="Times New Roman"/>
          <w:b/>
          <w:sz w:val="24"/>
        </w:rPr>
        <w:t>4</w:t>
      </w:r>
      <w:r>
        <w:rPr>
          <w:rFonts w:ascii="宋体" w:hAnsi="宋体"/>
          <w:b/>
          <w:sz w:val="24"/>
        </w:rPr>
        <w:t>）公司的行业地位和优势</w:t>
      </w:r>
    </w:p>
    <w:p w:rsidR="0041001A" w:rsidRDefault="005B7A09">
      <w:pPr>
        <w:ind w:firstLine="479"/>
        <w:jc w:val="both"/>
      </w:pPr>
      <w:r>
        <w:rPr>
          <w:rFonts w:ascii="宋体" w:hAnsi="宋体"/>
          <w:sz w:val="24"/>
        </w:rPr>
        <w:t>公司是国家专精特新</w:t>
      </w:r>
      <w:r>
        <w:rPr>
          <w:rFonts w:ascii="Times New Roman" w:hAnsi="Times New Roman"/>
          <w:sz w:val="24"/>
        </w:rPr>
        <w:t>“</w:t>
      </w:r>
      <w:r>
        <w:rPr>
          <w:rFonts w:ascii="宋体" w:hAnsi="宋体"/>
          <w:sz w:val="24"/>
        </w:rPr>
        <w:t>小巨人</w:t>
      </w:r>
      <w:r>
        <w:rPr>
          <w:rFonts w:ascii="Times New Roman" w:hAnsi="Times New Roman"/>
          <w:sz w:val="24"/>
        </w:rPr>
        <w:t>”</w:t>
      </w:r>
      <w:r>
        <w:rPr>
          <w:rFonts w:ascii="宋体" w:hAnsi="宋体"/>
          <w:sz w:val="24"/>
        </w:rPr>
        <w:t>企业、高新技术企业及福建省企业技术中心，是团体标</w:t>
      </w:r>
      <w:r>
        <w:rPr>
          <w:rFonts w:ascii="宋体" w:hAnsi="宋体"/>
          <w:sz w:val="24"/>
        </w:rPr>
        <w:lastRenderedPageBreak/>
        <w:t>准《压缩空气站节能设计指南》（T/CGMA 033002-2020）、《容积式空气压缩机产品铭牌、说明书、宣传文件明示要求》（T/CGMA 0301-2021）、《绿色设计产品评价技术规范 一般用喷油回转空气压缩机》（T/CMIF 157-2022）的起草单位之一，同时是国内少数掌握螺杆空压机核心技术的厂家之一。公司始终致力于不断提升设备能效水平的技术创新，</w:t>
      </w:r>
      <w:r>
        <w:rPr>
          <w:rFonts w:ascii="Times New Roman" w:hAnsi="Times New Roman"/>
          <w:sz w:val="24"/>
        </w:rPr>
        <w:t>2013</w:t>
      </w:r>
      <w:r>
        <w:rPr>
          <w:rFonts w:ascii="宋体" w:hAnsi="宋体"/>
          <w:sz w:val="24"/>
        </w:rPr>
        <w:t>年压缩机列入工信部</w:t>
      </w:r>
      <w:r>
        <w:rPr>
          <w:rFonts w:ascii="Times New Roman" w:hAnsi="Times New Roman"/>
          <w:sz w:val="24"/>
        </w:rPr>
        <w:t>“</w:t>
      </w:r>
      <w:r>
        <w:rPr>
          <w:rFonts w:ascii="宋体" w:hAnsi="宋体"/>
          <w:sz w:val="24"/>
        </w:rPr>
        <w:t>能效之星</w:t>
      </w:r>
      <w:r>
        <w:rPr>
          <w:rFonts w:ascii="Times New Roman" w:hAnsi="Times New Roman"/>
          <w:sz w:val="24"/>
        </w:rPr>
        <w:t>”</w:t>
      </w:r>
      <w:r>
        <w:rPr>
          <w:rFonts w:ascii="宋体" w:hAnsi="宋体"/>
          <w:sz w:val="24"/>
        </w:rPr>
        <w:t>评选范围以来，公司产品凭借</w:t>
      </w:r>
      <w:r>
        <w:rPr>
          <w:rFonts w:ascii="Times New Roman" w:hAnsi="Times New Roman"/>
          <w:sz w:val="24"/>
        </w:rPr>
        <w:t>“</w:t>
      </w:r>
      <w:r>
        <w:rPr>
          <w:rFonts w:ascii="宋体" w:hAnsi="宋体"/>
          <w:sz w:val="24"/>
        </w:rPr>
        <w:t>优于能效一级</w:t>
      </w:r>
      <w:r>
        <w:rPr>
          <w:rFonts w:ascii="Times New Roman" w:hAnsi="Times New Roman"/>
          <w:sz w:val="24"/>
        </w:rPr>
        <w:t>”</w:t>
      </w:r>
      <w:r>
        <w:rPr>
          <w:rFonts w:ascii="宋体" w:hAnsi="宋体"/>
          <w:sz w:val="24"/>
        </w:rPr>
        <w:t>的领先能效水平多次入选工信部《</w:t>
      </w:r>
      <w:r>
        <w:rPr>
          <w:rFonts w:ascii="Times New Roman" w:hAnsi="Times New Roman"/>
          <w:sz w:val="24"/>
        </w:rPr>
        <w:t>“</w:t>
      </w:r>
      <w:r>
        <w:rPr>
          <w:rFonts w:ascii="宋体" w:hAnsi="宋体"/>
          <w:sz w:val="24"/>
        </w:rPr>
        <w:t>能效之星</w:t>
      </w:r>
      <w:r>
        <w:rPr>
          <w:rFonts w:ascii="Times New Roman" w:hAnsi="Times New Roman"/>
          <w:sz w:val="24"/>
        </w:rPr>
        <w:t>”</w:t>
      </w:r>
      <w:r>
        <w:rPr>
          <w:rFonts w:ascii="宋体" w:hAnsi="宋体"/>
          <w:sz w:val="24"/>
        </w:rPr>
        <w:t>产品目录》，入选数量位居行业第一；</w:t>
      </w:r>
      <w:r>
        <w:rPr>
          <w:rFonts w:ascii="Times New Roman" w:hAnsi="Times New Roman"/>
          <w:sz w:val="24"/>
        </w:rPr>
        <w:t xml:space="preserve">2017 </w:t>
      </w:r>
      <w:r>
        <w:rPr>
          <w:rFonts w:ascii="宋体" w:hAnsi="宋体"/>
          <w:sz w:val="24"/>
        </w:rPr>
        <w:t>年至</w:t>
      </w:r>
      <w:r>
        <w:rPr>
          <w:rFonts w:ascii="Times New Roman" w:hAnsi="Times New Roman"/>
          <w:sz w:val="24"/>
        </w:rPr>
        <w:t xml:space="preserve"> 2022</w:t>
      </w:r>
      <w:r>
        <w:rPr>
          <w:rFonts w:ascii="宋体" w:hAnsi="宋体"/>
          <w:sz w:val="24"/>
        </w:rPr>
        <w:t>年，公司产品凭借优异的能效水平入选工信部《国家工业节能技术装备推荐目录》，入选数量位居行业第一。公司被工信部认定为“绿色工厂”、“绿色供应链管理企业”、“绿色设计产品企业”，公司是唯一一家同时获得三个国家级“绿色制造”奖项的压缩机企业。</w:t>
      </w:r>
    </w:p>
    <w:p w:rsidR="0041001A" w:rsidRDefault="005B7A09">
      <w:pPr>
        <w:pStyle w:val="3"/>
        <w:spacing w:line="280" w:lineRule="exact"/>
        <w:jc w:val="left"/>
        <w:rPr>
          <w:rFonts w:ascii="宋体" w:hAnsi="宋体" w:cs="宋体"/>
          <w:b/>
          <w:bCs/>
        </w:rPr>
      </w:pPr>
      <w:bookmarkStart w:id="4" w:name="_Toc988893"/>
      <w:r>
        <w:rPr>
          <w:rFonts w:ascii="宋体" w:hAnsi="宋体" w:cs="宋体"/>
          <w:b/>
          <w:bCs/>
        </w:rPr>
        <w:t>3、主要会计数据和财务指标</w:t>
      </w:r>
      <w:bookmarkEnd w:id="4"/>
    </w:p>
    <w:p w:rsidR="0041001A" w:rsidRDefault="005B7A09">
      <w:pPr>
        <w:keepNext/>
        <w:keepLines/>
        <w:spacing w:before="300" w:after="300" w:line="280" w:lineRule="exact"/>
        <w:outlineLvl w:val="3"/>
        <w:rPr>
          <w:rFonts w:ascii="宋体" w:eastAsia="宋体" w:hAnsi="宋体" w:cs="宋体"/>
          <w:b/>
          <w:bCs/>
          <w:sz w:val="18"/>
          <w:szCs w:val="18"/>
        </w:rPr>
      </w:pPr>
      <w:bookmarkStart w:id="5" w:name="_Toc988894"/>
      <w:r>
        <w:rPr>
          <w:rFonts w:ascii="宋体" w:eastAsia="宋体" w:hAnsi="宋体" w:cs="宋体"/>
          <w:b/>
          <w:bCs/>
          <w:sz w:val="18"/>
          <w:szCs w:val="18"/>
        </w:rPr>
        <w:t>（1） 近三年主要会计数据和财务指标</w:t>
      </w:r>
      <w:bookmarkEnd w:id="5"/>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公司是否需追溯调整或重述以前年度会计数据</w:t>
      </w: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41001A" w:rsidRDefault="005B7A09">
      <w:pPr>
        <w:spacing w:before="120" w:after="120" w:line="240" w:lineRule="exact"/>
        <w:jc w:val="right"/>
        <w:rPr>
          <w:rFonts w:ascii="宋体" w:eastAsia="宋体" w:hAnsi="宋体" w:cs="宋体"/>
          <w:sz w:val="18"/>
          <w:szCs w:val="18"/>
        </w:rPr>
      </w:pPr>
      <w:r>
        <w:rPr>
          <w:rFonts w:ascii="宋体" w:eastAsia="宋体" w:hAnsi="宋体" w:cs="宋体"/>
          <w:sz w:val="18"/>
          <w:szCs w:val="18"/>
        </w:rPr>
        <w:t>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41001A"/>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2022年末</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2021年末</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本年末比上年末增减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2020年末</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总资产</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1,641,167,407.41</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1,568,510,770.80</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4.63%</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885,525,428.92</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归属于上市公司股东的净资产</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1,182,637,944.53</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1,098,637,724.43</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7.65%</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536,231,422.53</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41001A"/>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2021年</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本年比上年增减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2020年</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营业收入</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794,880,440.45</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893,234,176.16</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-11.01%</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777,636,560.46</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归属于上市公司股东的净利润</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159,782,620.10</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180,789,588.77</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-11.62%</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144,897,239.69</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归属于上市公司股东的扣除非经常性损益的净利润</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137,347,574.48</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164,861,218.39</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-16.69%</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127,616,550.40</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经营活动产生的现金流量净额</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239,299,525.98</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178,354,475.81</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34.17%</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204,817,619.15</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基本每股收益（元/股）</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0.42</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0.56</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-25.00%</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0.51</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稀释每股收益（元/股）</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0.42</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0.56</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-25.00%</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0.51</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加权平均净资产收益率</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14.09%</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22.72%</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-8.63%</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30.37%</w:t>
            </w:r>
          </w:p>
        </w:tc>
      </w:tr>
    </w:tbl>
    <w:p w:rsidR="0041001A" w:rsidRDefault="005B7A09">
      <w:pPr>
        <w:keepNext/>
        <w:keepLines/>
        <w:spacing w:before="300" w:after="300" w:line="280" w:lineRule="exact"/>
        <w:outlineLvl w:val="3"/>
        <w:rPr>
          <w:rFonts w:ascii="宋体" w:eastAsia="宋体" w:hAnsi="宋体" w:cs="宋体"/>
          <w:b/>
          <w:bCs/>
          <w:sz w:val="18"/>
          <w:szCs w:val="18"/>
        </w:rPr>
      </w:pPr>
      <w:bookmarkStart w:id="6" w:name="_Toc988895"/>
      <w:r>
        <w:rPr>
          <w:rFonts w:ascii="宋体" w:eastAsia="宋体" w:hAnsi="宋体" w:cs="宋体"/>
          <w:b/>
          <w:bCs/>
          <w:sz w:val="18"/>
          <w:szCs w:val="18"/>
        </w:rPr>
        <w:t>（2） 分季度主要会计数据</w:t>
      </w:r>
      <w:bookmarkEnd w:id="6"/>
    </w:p>
    <w:p w:rsidR="0041001A" w:rsidRDefault="005B7A09">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41001A"/>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第一季度</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第二季度</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第三季度</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第四季度</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营业收入</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220,777,963.49</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206,166,214.09</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207,555,652.03</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160,380,610.84</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归属于上市公司股东的净利润</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46,425,083.27</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52,668,808.53</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42,282,071.38</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18,406,656.92</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归属于上市公司股东的扣除非经常性损益的净利润</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40,738,218.14</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45,063,112.36</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36,059,024.38</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15,487,219.60</w:t>
            </w:r>
          </w:p>
        </w:tc>
      </w:tr>
      <w:tr w:rsidR="0041001A">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经营活动产生的现金</w:t>
            </w:r>
            <w:r>
              <w:rPr>
                <w:rFonts w:ascii="宋体" w:eastAsia="宋体" w:hAnsi="宋体" w:cs="宋体"/>
                <w:sz w:val="18"/>
                <w:szCs w:val="18"/>
              </w:rPr>
              <w:lastRenderedPageBreak/>
              <w:t>流量净额</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lastRenderedPageBreak/>
              <w:t>-17,872,613.59</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69,231,257.83</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87,523,582.62</w:t>
            </w:r>
          </w:p>
        </w:tc>
        <w:tc>
          <w:tcPr>
            <w:tcW w:w="1928"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100,417,299.12</w:t>
            </w:r>
          </w:p>
        </w:tc>
      </w:tr>
    </w:tbl>
    <w:p w:rsidR="0041001A" w:rsidRDefault="005B7A09">
      <w:pPr>
        <w:spacing w:before="100" w:after="100" w:line="240" w:lineRule="exact"/>
        <w:rPr>
          <w:rFonts w:ascii="宋体" w:eastAsia="宋体" w:hAnsi="宋体" w:cs="宋体"/>
          <w:sz w:val="18"/>
          <w:szCs w:val="18"/>
        </w:rPr>
      </w:pPr>
      <w:r>
        <w:rPr>
          <w:rFonts w:ascii="宋体" w:eastAsia="宋体" w:hAnsi="宋体" w:cs="宋体"/>
          <w:sz w:val="18"/>
          <w:szCs w:val="18"/>
        </w:rPr>
        <w:t>上述财务指标或其加总数是否与公司已披露季度报告、半年度报告相关财务指标存在重大差异</w:t>
      </w:r>
    </w:p>
    <w:p w:rsidR="0041001A" w:rsidRDefault="005B7A09">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41001A" w:rsidRDefault="005B7A09">
      <w:pPr>
        <w:pStyle w:val="3"/>
        <w:spacing w:line="280" w:lineRule="exact"/>
        <w:jc w:val="left"/>
        <w:rPr>
          <w:rFonts w:ascii="宋体" w:hAnsi="宋体" w:cs="宋体"/>
          <w:b/>
          <w:bCs/>
        </w:rPr>
      </w:pPr>
      <w:bookmarkStart w:id="7" w:name="_Toc988896"/>
      <w:r>
        <w:rPr>
          <w:rFonts w:ascii="宋体" w:hAnsi="宋体" w:cs="宋体"/>
          <w:b/>
          <w:bCs/>
        </w:rPr>
        <w:t>4、股本及股东情况</w:t>
      </w:r>
      <w:bookmarkEnd w:id="7"/>
    </w:p>
    <w:p w:rsidR="0041001A" w:rsidRDefault="005B7A09">
      <w:pPr>
        <w:keepNext/>
        <w:keepLines/>
        <w:spacing w:before="300" w:after="300" w:line="280" w:lineRule="exact"/>
        <w:outlineLvl w:val="3"/>
        <w:rPr>
          <w:rFonts w:ascii="宋体" w:eastAsia="宋体" w:hAnsi="宋体" w:cs="宋体"/>
          <w:b/>
          <w:bCs/>
          <w:sz w:val="18"/>
          <w:szCs w:val="18"/>
        </w:rPr>
      </w:pPr>
      <w:bookmarkStart w:id="8" w:name="_Toc988897"/>
      <w:r>
        <w:rPr>
          <w:rFonts w:ascii="宋体" w:eastAsia="宋体" w:hAnsi="宋体" w:cs="宋体"/>
          <w:b/>
          <w:bCs/>
          <w:sz w:val="18"/>
          <w:szCs w:val="18"/>
        </w:rPr>
        <w:t>（1） 普通股股东和表决权恢复的优先股股东数量及前10名股东持股情况表</w:t>
      </w:r>
      <w:bookmarkEnd w:id="8"/>
    </w:p>
    <w:p w:rsidR="0041001A" w:rsidRDefault="005B7A09">
      <w:pPr>
        <w:spacing w:before="40" w:after="40" w:line="240" w:lineRule="exact"/>
        <w:jc w:val="right"/>
        <w:rPr>
          <w:rFonts w:ascii="宋体" w:eastAsia="宋体" w:hAnsi="宋体" w:cs="宋体"/>
          <w:sz w:val="18"/>
          <w:szCs w:val="18"/>
        </w:rPr>
      </w:pPr>
      <w:r>
        <w:rPr>
          <w:rFonts w:ascii="宋体" w:eastAsia="宋体" w:hAnsi="宋体" w:cs="宋体"/>
          <w:sz w:val="18"/>
          <w:szCs w:val="18"/>
        </w:rPr>
        <w:t>单位：股</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5"/>
        <w:gridCol w:w="876"/>
        <w:gridCol w:w="876"/>
        <w:gridCol w:w="876"/>
        <w:gridCol w:w="877"/>
        <w:gridCol w:w="876"/>
        <w:gridCol w:w="877"/>
        <w:gridCol w:w="876"/>
        <w:gridCol w:w="877"/>
        <w:gridCol w:w="876"/>
        <w:gridCol w:w="877"/>
      </w:tblGrid>
      <w:tr w:rsidR="0041001A">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报告期末普通股股东总数</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20,551</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年度报告披露日前一个月末普通股股东总数</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19,292</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报告期末表决权恢复的优先股股东总数</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年度报告披露日前一个月末表决权恢复的优先股股东总数</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持有特别表决权股份的股东总数（如有）</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41001A">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前10名股东持股情况</w:t>
            </w:r>
          </w:p>
        </w:tc>
      </w:tr>
      <w:tr w:rsidR="0041001A">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股东名称</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股东性质</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持股比例</w:t>
            </w:r>
          </w:p>
        </w:tc>
        <w:tc>
          <w:tcPr>
            <w:tcW w:w="1753"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持股数量</w:t>
            </w:r>
          </w:p>
        </w:tc>
        <w:tc>
          <w:tcPr>
            <w:tcW w:w="1753"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持有有限售条件的股份数量</w:t>
            </w:r>
          </w:p>
        </w:tc>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质押、标记或冻结情况</w:t>
            </w:r>
          </w:p>
        </w:tc>
      </w:tr>
      <w:tr w:rsidR="0041001A">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41001A"/>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41001A"/>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41001A"/>
        </w:tc>
        <w:tc>
          <w:tcPr>
            <w:tcW w:w="1753"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41001A"/>
        </w:tc>
        <w:tc>
          <w:tcPr>
            <w:tcW w:w="1753"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41001A"/>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股份状态</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r>
      <w:tr w:rsidR="0041001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韩萤焕</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境外自然人</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47.65%</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180,546,800.00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180,546,800.00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rPr>
                <w:rFonts w:ascii="宋体" w:eastAsia="宋体" w:hAnsi="宋体" w:cs="宋体"/>
                <w:sz w:val="18"/>
                <w:szCs w:val="18"/>
              </w:rPr>
            </w:pP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jc w:val="right"/>
              <w:rPr>
                <w:rFonts w:ascii="宋体" w:eastAsia="宋体" w:hAnsi="宋体" w:cs="宋体"/>
                <w:sz w:val="18"/>
                <w:szCs w:val="18"/>
              </w:rPr>
            </w:pPr>
          </w:p>
        </w:tc>
      </w:tr>
      <w:tr w:rsidR="0041001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太平洋捷豹控股有限公司</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境外法人</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23.82%</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90,272,000.00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90,272,000.00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rPr>
                <w:rFonts w:ascii="宋体" w:eastAsia="宋体" w:hAnsi="宋体" w:cs="宋体"/>
                <w:sz w:val="18"/>
                <w:szCs w:val="18"/>
              </w:rPr>
            </w:pP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jc w:val="right"/>
              <w:rPr>
                <w:rFonts w:ascii="宋体" w:eastAsia="宋体" w:hAnsi="宋体" w:cs="宋体"/>
                <w:sz w:val="18"/>
                <w:szCs w:val="18"/>
              </w:rPr>
            </w:pPr>
          </w:p>
        </w:tc>
      </w:tr>
      <w:tr w:rsidR="0041001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厦门福瑞高科投资合伙企业（有限合伙）</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境内非国有法人</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1.10%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4,170,800.00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rPr>
                <w:rFonts w:ascii="宋体" w:eastAsia="宋体" w:hAnsi="宋体" w:cs="宋体"/>
                <w:sz w:val="18"/>
                <w:szCs w:val="18"/>
              </w:rPr>
            </w:pP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jc w:val="right"/>
              <w:rPr>
                <w:rFonts w:ascii="宋体" w:eastAsia="宋体" w:hAnsi="宋体" w:cs="宋体"/>
                <w:sz w:val="18"/>
                <w:szCs w:val="18"/>
              </w:rPr>
            </w:pPr>
          </w:p>
        </w:tc>
      </w:tr>
      <w:tr w:rsidR="0041001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厦门惠福资本投资合伙企业（有限合伙）</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境内非国有法人</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0.97%</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3,691,100.00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rPr>
                <w:rFonts w:ascii="宋体" w:eastAsia="宋体" w:hAnsi="宋体" w:cs="宋体"/>
                <w:sz w:val="18"/>
                <w:szCs w:val="18"/>
              </w:rPr>
            </w:pP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jc w:val="right"/>
              <w:rPr>
                <w:rFonts w:ascii="宋体" w:eastAsia="宋体" w:hAnsi="宋体" w:cs="宋体"/>
                <w:sz w:val="18"/>
                <w:szCs w:val="18"/>
              </w:rPr>
            </w:pPr>
          </w:p>
        </w:tc>
      </w:tr>
      <w:tr w:rsidR="0041001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厦门发富投资合伙企业（有限合伙）</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境内非国有法人</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0.81%</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3,066,000.00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rPr>
                <w:rFonts w:ascii="宋体" w:eastAsia="宋体" w:hAnsi="宋体" w:cs="宋体"/>
                <w:sz w:val="18"/>
                <w:szCs w:val="18"/>
              </w:rPr>
            </w:pP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jc w:val="right"/>
              <w:rPr>
                <w:rFonts w:ascii="宋体" w:eastAsia="宋体" w:hAnsi="宋体" w:cs="宋体"/>
                <w:sz w:val="18"/>
                <w:szCs w:val="18"/>
              </w:rPr>
            </w:pPr>
          </w:p>
        </w:tc>
      </w:tr>
      <w:tr w:rsidR="0041001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叶国林</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境内自然人</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0.26%</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969,500.00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rPr>
                <w:rFonts w:ascii="宋体" w:eastAsia="宋体" w:hAnsi="宋体" w:cs="宋体"/>
                <w:sz w:val="18"/>
                <w:szCs w:val="18"/>
              </w:rPr>
            </w:pP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jc w:val="right"/>
              <w:rPr>
                <w:rFonts w:ascii="宋体" w:eastAsia="宋体" w:hAnsi="宋体" w:cs="宋体"/>
                <w:sz w:val="18"/>
                <w:szCs w:val="18"/>
              </w:rPr>
            </w:pPr>
          </w:p>
        </w:tc>
      </w:tr>
      <w:tr w:rsidR="0041001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叶光耀</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境内自然人</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0.14%</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533,294.00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rPr>
                <w:rFonts w:ascii="宋体" w:eastAsia="宋体" w:hAnsi="宋体" w:cs="宋体"/>
                <w:sz w:val="18"/>
                <w:szCs w:val="18"/>
              </w:rPr>
            </w:pP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jc w:val="right"/>
              <w:rPr>
                <w:rFonts w:ascii="宋体" w:eastAsia="宋体" w:hAnsi="宋体" w:cs="宋体"/>
                <w:sz w:val="18"/>
                <w:szCs w:val="18"/>
              </w:rPr>
            </w:pPr>
          </w:p>
        </w:tc>
      </w:tr>
      <w:tr w:rsidR="0041001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唐开健</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境内自然人</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0.13%</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500,000.00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rPr>
                <w:rFonts w:ascii="宋体" w:eastAsia="宋体" w:hAnsi="宋体" w:cs="宋体"/>
                <w:sz w:val="18"/>
                <w:szCs w:val="18"/>
              </w:rPr>
            </w:pP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jc w:val="right"/>
              <w:rPr>
                <w:rFonts w:ascii="宋体" w:eastAsia="宋体" w:hAnsi="宋体" w:cs="宋体"/>
                <w:sz w:val="18"/>
                <w:szCs w:val="18"/>
              </w:rPr>
            </w:pPr>
          </w:p>
        </w:tc>
      </w:tr>
      <w:tr w:rsidR="0041001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陈峰</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境内自然人</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0.12%</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460,000.00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rPr>
                <w:rFonts w:ascii="宋体" w:eastAsia="宋体" w:hAnsi="宋体" w:cs="宋体"/>
                <w:sz w:val="18"/>
                <w:szCs w:val="18"/>
              </w:rPr>
            </w:pP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jc w:val="right"/>
              <w:rPr>
                <w:rFonts w:ascii="宋体" w:eastAsia="宋体" w:hAnsi="宋体" w:cs="宋体"/>
                <w:sz w:val="18"/>
                <w:szCs w:val="18"/>
              </w:rPr>
            </w:pPr>
          </w:p>
        </w:tc>
      </w:tr>
      <w:tr w:rsidR="0041001A">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邰崇荣</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境内自然人</w:t>
            </w:r>
          </w:p>
        </w:tc>
        <w:tc>
          <w:tcPr>
            <w:tcW w:w="876" w:type="dxa"/>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0.12%</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449,900.00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rPr>
                <w:rFonts w:ascii="宋体" w:eastAsia="宋体" w:hAnsi="宋体" w:cs="宋体"/>
                <w:sz w:val="18"/>
                <w:szCs w:val="18"/>
              </w:rPr>
            </w:pP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41001A" w:rsidRDefault="0041001A">
            <w:pPr>
              <w:spacing w:line="240" w:lineRule="exact"/>
              <w:jc w:val="right"/>
              <w:rPr>
                <w:rFonts w:ascii="宋体" w:eastAsia="宋体" w:hAnsi="宋体" w:cs="宋体"/>
                <w:sz w:val="18"/>
                <w:szCs w:val="18"/>
              </w:rPr>
            </w:pPr>
          </w:p>
        </w:tc>
      </w:tr>
      <w:tr w:rsidR="0041001A">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上述股东关联关系或一致行动的说明</w:t>
            </w:r>
          </w:p>
        </w:tc>
        <w:tc>
          <w:tcPr>
            <w:tcW w:w="7886" w:type="dxa"/>
            <w:gridSpan w:val="9"/>
            <w:tcBorders>
              <w:top w:val="single" w:sz="2" w:space="0" w:color="auto"/>
              <w:left w:val="single" w:sz="2" w:space="0" w:color="auto"/>
              <w:bottom w:val="single" w:sz="2" w:space="0" w:color="auto"/>
              <w:right w:val="single" w:sz="2" w:space="0" w:color="auto"/>
            </w:tcBorders>
            <w:vAlign w:val="center"/>
          </w:tcPr>
          <w:p w:rsidR="0041001A" w:rsidRDefault="005B7A09">
            <w:pPr>
              <w:spacing w:line="240" w:lineRule="exact"/>
              <w:rPr>
                <w:rFonts w:ascii="宋体" w:eastAsia="宋体" w:hAnsi="宋体" w:cs="宋体"/>
                <w:sz w:val="18"/>
                <w:szCs w:val="18"/>
              </w:rPr>
            </w:pPr>
            <w:r>
              <w:rPr>
                <w:rFonts w:ascii="宋体" w:eastAsia="宋体" w:hAnsi="宋体" w:cs="宋体"/>
                <w:sz w:val="18"/>
                <w:szCs w:val="18"/>
              </w:rPr>
              <w:t>韩萤焕通过Pacific Goal持有太平洋捷豹控股有限公司60%的股权，为太平洋捷豹控股有限公司的实际控制人，进而与太平洋捷豹控股有限公司之间存在一致行动关系。厦门惠福资本投资合伙企业（有限合伙）、厦门福瑞高科投资合伙企业（有限合伙）、厦门发富投资合伙企业（有限合</w:t>
            </w:r>
            <w:r>
              <w:rPr>
                <w:rFonts w:ascii="宋体" w:eastAsia="宋体" w:hAnsi="宋体" w:cs="宋体"/>
                <w:sz w:val="18"/>
                <w:szCs w:val="18"/>
              </w:rPr>
              <w:lastRenderedPageBreak/>
              <w:t>伙）的部分有限合伙人为公司的董事、监事、高级管理人员，执行事务合伙人均为润来（厦门）投资管理有限公司，润来（厦门）投资管理有限公司的股东为公司的监事、高级管理人员。除上述情况外，未知其他股东之间是否存在关联关系或一致行动关系。</w:t>
            </w:r>
          </w:p>
        </w:tc>
      </w:tr>
    </w:tbl>
    <w:p w:rsidR="0041001A" w:rsidRDefault="005B7A09">
      <w:pPr>
        <w:spacing w:line="240" w:lineRule="exact"/>
        <w:rPr>
          <w:rFonts w:ascii="宋体" w:eastAsia="宋体" w:hAnsi="宋体" w:cs="宋体"/>
          <w:sz w:val="18"/>
          <w:szCs w:val="18"/>
        </w:rPr>
      </w:pPr>
      <w:r>
        <w:rPr>
          <w:rFonts w:ascii="宋体" w:eastAsia="宋体" w:hAnsi="宋体" w:cs="宋体"/>
          <w:sz w:val="18"/>
          <w:szCs w:val="18"/>
        </w:rPr>
        <w:lastRenderedPageBreak/>
        <w:t>公司是否具有表决权差异安排</w:t>
      </w:r>
    </w:p>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41001A" w:rsidRDefault="005B7A09">
      <w:pPr>
        <w:keepNext/>
        <w:keepLines/>
        <w:spacing w:before="300" w:after="300" w:line="280" w:lineRule="exact"/>
        <w:outlineLvl w:val="3"/>
        <w:rPr>
          <w:rFonts w:ascii="宋体" w:eastAsia="宋体" w:hAnsi="宋体" w:cs="宋体"/>
          <w:b/>
          <w:bCs/>
          <w:sz w:val="18"/>
          <w:szCs w:val="18"/>
        </w:rPr>
      </w:pPr>
      <w:bookmarkStart w:id="9" w:name="_Toc988898"/>
      <w:r>
        <w:rPr>
          <w:rFonts w:ascii="宋体" w:eastAsia="宋体" w:hAnsi="宋体" w:cs="宋体"/>
          <w:b/>
          <w:bCs/>
          <w:sz w:val="18"/>
          <w:szCs w:val="18"/>
        </w:rPr>
        <w:t>（2） 公司优先股股东总数及前10名优先股股东持股情况表</w:t>
      </w:r>
      <w:bookmarkEnd w:id="9"/>
    </w:p>
    <w:p w:rsidR="0041001A" w:rsidRDefault="0041001A">
      <w:pPr>
        <w:spacing w:before="40" w:after="40" w:line="0" w:lineRule="atLeast"/>
      </w:pPr>
    </w:p>
    <w:p w:rsidR="0041001A" w:rsidRDefault="005B7A09">
      <w:pPr>
        <w:spacing w:line="240" w:lineRule="exact"/>
        <w:rPr>
          <w:rFonts w:ascii="宋体" w:eastAsia="宋体" w:hAnsi="宋体" w:cs="宋体"/>
          <w:sz w:val="18"/>
          <w:szCs w:val="18"/>
        </w:rPr>
      </w:pPr>
      <w:r>
        <w:rPr>
          <w:rFonts w:ascii="宋体" w:eastAsia="宋体" w:hAnsi="宋体" w:cs="宋体"/>
          <w:sz w:val="18"/>
          <w:szCs w:val="18"/>
        </w:rPr>
        <w:t>公司报告期无优先股股东持股情况。</w:t>
      </w:r>
    </w:p>
    <w:p w:rsidR="0041001A" w:rsidRDefault="005B7A09">
      <w:pPr>
        <w:keepNext/>
        <w:keepLines/>
        <w:spacing w:before="300" w:after="300" w:line="280" w:lineRule="exact"/>
        <w:outlineLvl w:val="3"/>
        <w:rPr>
          <w:rFonts w:ascii="宋体" w:eastAsia="宋体" w:hAnsi="宋体" w:cs="宋体"/>
          <w:b/>
          <w:bCs/>
          <w:sz w:val="18"/>
          <w:szCs w:val="18"/>
        </w:rPr>
      </w:pPr>
      <w:bookmarkStart w:id="10" w:name="_Toc988899"/>
      <w:r>
        <w:rPr>
          <w:rFonts w:ascii="宋体" w:eastAsia="宋体" w:hAnsi="宋体" w:cs="宋体"/>
          <w:b/>
          <w:bCs/>
          <w:sz w:val="18"/>
          <w:szCs w:val="18"/>
        </w:rPr>
        <w:t>（3） 以方框图形式披露公司与实际控制人之间的产权及控制关系</w:t>
      </w:r>
      <w:bookmarkEnd w:id="10"/>
    </w:p>
    <w:p w:rsidR="0041001A" w:rsidRDefault="005B7A09">
      <w:pPr>
        <w:spacing w:before="40" w:after="40" w:line="0" w:lineRule="atLeast"/>
        <w:rPr>
          <w:rFonts w:ascii="Times New Roman" w:eastAsia="宋体" w:hAnsi="Times New Roman" w:cs="Times New Roman"/>
        </w:rPr>
      </w:pPr>
      <w:r>
        <w:rPr>
          <w:rFonts w:ascii="Times New Roman" w:eastAsia="宋体" w:hAnsi="Times New Roman" w:cs="Times New Roman"/>
          <w:noProof/>
        </w:rPr>
        <w:drawing>
          <wp:inline distT="0" distB="0" distL="0" distR="0">
            <wp:extent cx="3500438" cy="25669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0" cstate="print">
                      <a:extLst/>
                    </a:blip>
                    <a:stretch>
                      <a:fillRect/>
                    </a:stretch>
                  </pic:blipFill>
                  <pic:spPr>
                    <a:xfrm>
                      <a:off x="0" y="0"/>
                      <a:ext cx="3500438" cy="2566987"/>
                    </a:xfrm>
                    <a:prstGeom prst="rect">
                      <a:avLst/>
                    </a:prstGeom>
                  </pic:spPr>
                </pic:pic>
              </a:graphicData>
            </a:graphic>
          </wp:inline>
        </w:drawing>
      </w:r>
    </w:p>
    <w:p w:rsidR="0041001A" w:rsidRDefault="005B7A09">
      <w:pPr>
        <w:pStyle w:val="3"/>
        <w:spacing w:line="280" w:lineRule="exact"/>
        <w:jc w:val="left"/>
        <w:rPr>
          <w:rFonts w:ascii="宋体" w:hAnsi="宋体" w:cs="宋体"/>
          <w:b/>
          <w:bCs/>
        </w:rPr>
      </w:pPr>
      <w:bookmarkStart w:id="11" w:name="_Toc988900"/>
      <w:r>
        <w:rPr>
          <w:rFonts w:ascii="宋体" w:hAnsi="宋体" w:cs="宋体"/>
          <w:b/>
          <w:bCs/>
        </w:rPr>
        <w:t>5、在年度报告批准报出日存续的债券情况</w:t>
      </w:r>
      <w:bookmarkEnd w:id="11"/>
    </w:p>
    <w:p w:rsidR="0041001A" w:rsidRDefault="005B7A09">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41001A" w:rsidRDefault="005B7A09">
      <w:pPr>
        <w:pStyle w:val="2"/>
        <w:spacing w:before="300" w:after="300" w:line="320" w:lineRule="exact"/>
        <w:rPr>
          <w:rFonts w:ascii="宋体" w:eastAsia="宋体" w:hAnsi="宋体" w:cs="宋体"/>
          <w:b/>
          <w:bCs/>
          <w:sz w:val="24"/>
          <w:szCs w:val="24"/>
        </w:rPr>
      </w:pPr>
      <w:bookmarkStart w:id="12" w:name="_Toc988901"/>
      <w:r>
        <w:rPr>
          <w:rFonts w:ascii="宋体" w:eastAsia="宋体" w:hAnsi="宋体" w:cs="宋体"/>
          <w:b/>
          <w:bCs/>
          <w:sz w:val="24"/>
          <w:szCs w:val="24"/>
        </w:rPr>
        <w:t>三、重要事项</w:t>
      </w:r>
      <w:bookmarkEnd w:id="12"/>
    </w:p>
    <w:p w:rsidR="00634248" w:rsidRDefault="005B7A09">
      <w:pPr>
        <w:pStyle w:val="a4"/>
        <w:divId w:val="535436922"/>
      </w:pPr>
      <w:r>
        <w:rPr>
          <w:rFonts w:hint="eastAsia"/>
          <w:sz w:val="18"/>
          <w:szCs w:val="18"/>
        </w:rPr>
        <w:t>1、2021年12月23日，公司召开第二届董事会第二十二次会议，审议通过了2021年限制性股票激励计划的相关议案，具体内容详见公司于2021年12月23日在巨潮资讯网上披露的《2021年限制性股票激励计划（草案）》。2022年1月12日，公司召开2022年第一次临时股东大会，未审议通过2021年限制性股票激励计划相关议案，具体内容详见公司于同日在巨潮资讯网上披露的《2021年第一次临时股东大会决议公告》（公告编号：2022-004）。</w:t>
      </w:r>
    </w:p>
    <w:p w:rsidR="00634248" w:rsidRDefault="005B7A09">
      <w:pPr>
        <w:pStyle w:val="a4"/>
        <w:divId w:val="535436922"/>
      </w:pPr>
      <w:r>
        <w:rPr>
          <w:rFonts w:hint="eastAsia"/>
          <w:sz w:val="18"/>
          <w:szCs w:val="18"/>
        </w:rPr>
        <w:t>  2、2022年3月3日，公司召开了第二届董事会第二十三次会议，审议通过《关于公司参与土地竞拍的议案》，并于3月23日以最终成交价格3,143万元成功竞得编号2021TG02-G地块的国有建设用地使用权，并与厦门市自然资源和规划局签订了《成交确认书》。具体内容详见公司于巨潮资讯网上披露的《关于参与土地竞拍的公告》（公告编号：2022-008）、《关于参与土地竞拍的进展公告》（公告编号：2022-009）。</w:t>
      </w:r>
    </w:p>
    <w:p w:rsidR="00634248" w:rsidRDefault="005B7A09">
      <w:pPr>
        <w:pStyle w:val="a4"/>
        <w:divId w:val="535436922"/>
      </w:pPr>
      <w:r>
        <w:rPr>
          <w:rFonts w:hint="eastAsia"/>
          <w:sz w:val="18"/>
          <w:szCs w:val="18"/>
        </w:rPr>
        <w:t>  3、2022年4月6日，公司召开了第二届董事会第二十四次会议 ，审议通过《关于2021年度利润分配预案的议案》，公司2021年度利润分配预案的内容为：以总股本378,912,000股为基数，向全体股东每10股派发现金股利人民币2.00元（含税），合计派发现金红利人民币75,782,400.00元（含税），不进行资本公积转增股本，不送红股，剩余未分配利润结转以后年度分配。 在利润分配预案披露日至实施权益分派股权登记日期间，公司股本总额若发生变化，公司将维持每股分配比例不变，相应调整分配总额。2022年5月11日，公司召开2021年年度股东大会，审议通过《关于2021</w:t>
      </w:r>
      <w:r>
        <w:rPr>
          <w:rFonts w:hint="eastAsia"/>
          <w:sz w:val="18"/>
          <w:szCs w:val="18"/>
        </w:rPr>
        <w:lastRenderedPageBreak/>
        <w:t>年度利润分配预案的议案》。公司已于2022年6月8日实施完成了上述权益分派事项。具体内容详见公司于巨潮资讯网上披露的《第二届董事会第二十四次会议决议公告》（公告编号：2022-010）、《2021年年度股东大会决议公告》（公告编号：2022-024）、《2021年年度权益分派实施公告》（公告编号：2022-038）。</w:t>
      </w:r>
    </w:p>
    <w:p w:rsidR="00634248" w:rsidRDefault="005B7A09">
      <w:pPr>
        <w:pStyle w:val="a4"/>
        <w:divId w:val="535436922"/>
      </w:pPr>
      <w:r>
        <w:rPr>
          <w:rFonts w:ascii="Calibri" w:hAnsi="Calibri" w:cs="Calibri"/>
          <w:color w:val="000000"/>
          <w:sz w:val="18"/>
          <w:szCs w:val="18"/>
        </w:rPr>
        <w:t>      4</w:t>
      </w:r>
      <w:r>
        <w:rPr>
          <w:rFonts w:hint="eastAsia"/>
          <w:color w:val="000000"/>
          <w:sz w:val="18"/>
          <w:szCs w:val="18"/>
        </w:rPr>
        <w:t>、</w:t>
      </w:r>
      <w:r>
        <w:rPr>
          <w:rFonts w:ascii="Calibri" w:hAnsi="Calibri" w:cs="Calibri"/>
          <w:color w:val="000000"/>
          <w:sz w:val="18"/>
          <w:szCs w:val="18"/>
        </w:rPr>
        <w:t>2022</w:t>
      </w:r>
      <w:r>
        <w:rPr>
          <w:rFonts w:hint="eastAsia"/>
          <w:color w:val="000000"/>
          <w:sz w:val="18"/>
          <w:szCs w:val="18"/>
        </w:rPr>
        <w:t>年</w:t>
      </w:r>
      <w:r>
        <w:rPr>
          <w:rFonts w:ascii="Calibri" w:hAnsi="Calibri" w:cs="Calibri"/>
          <w:color w:val="000000"/>
          <w:sz w:val="18"/>
          <w:szCs w:val="18"/>
        </w:rPr>
        <w:t>8</w:t>
      </w:r>
      <w:r>
        <w:rPr>
          <w:rFonts w:hint="eastAsia"/>
          <w:color w:val="000000"/>
          <w:sz w:val="18"/>
          <w:szCs w:val="18"/>
        </w:rPr>
        <w:t>月</w:t>
      </w:r>
      <w:r>
        <w:rPr>
          <w:rFonts w:ascii="Calibri" w:hAnsi="Calibri" w:cs="Calibri"/>
          <w:color w:val="000000"/>
          <w:sz w:val="18"/>
          <w:szCs w:val="18"/>
        </w:rPr>
        <w:t>26</w:t>
      </w:r>
      <w:r>
        <w:rPr>
          <w:rFonts w:hint="eastAsia"/>
          <w:color w:val="000000"/>
          <w:sz w:val="18"/>
          <w:szCs w:val="18"/>
        </w:rPr>
        <w:t>日，公司召开了第三届董事会第二次会议</w:t>
      </w:r>
      <w:r>
        <w:rPr>
          <w:rFonts w:ascii="Calibri" w:hAnsi="Calibri" w:cs="Calibri"/>
          <w:color w:val="000000"/>
          <w:sz w:val="18"/>
          <w:szCs w:val="18"/>
        </w:rPr>
        <w:t xml:space="preserve"> </w:t>
      </w:r>
      <w:r>
        <w:rPr>
          <w:rFonts w:hint="eastAsia"/>
          <w:color w:val="000000"/>
          <w:sz w:val="18"/>
          <w:szCs w:val="18"/>
        </w:rPr>
        <w:t>，审议通过《关于投资建设空压机制造基地工程项目的议案》，</w:t>
      </w:r>
      <w:r>
        <w:rPr>
          <w:rFonts w:ascii="Calibri" w:hAnsi="Calibri" w:cs="Calibri"/>
          <w:color w:val="000000"/>
          <w:sz w:val="18"/>
          <w:szCs w:val="18"/>
        </w:rPr>
        <w:t xml:space="preserve"> </w:t>
      </w:r>
      <w:r>
        <w:rPr>
          <w:rFonts w:hint="eastAsia"/>
          <w:color w:val="000000"/>
          <w:sz w:val="18"/>
          <w:szCs w:val="18"/>
        </w:rPr>
        <w:t>项目拟投资总金额为人民币</w:t>
      </w:r>
      <w:r>
        <w:rPr>
          <w:rFonts w:ascii="Calibri" w:hAnsi="Calibri" w:cs="Calibri"/>
          <w:color w:val="000000"/>
          <w:sz w:val="18"/>
          <w:szCs w:val="18"/>
        </w:rPr>
        <w:t>73,300.00</w:t>
      </w:r>
      <w:r>
        <w:rPr>
          <w:rFonts w:hint="eastAsia"/>
          <w:color w:val="000000"/>
          <w:sz w:val="18"/>
          <w:szCs w:val="18"/>
        </w:rPr>
        <w:t>万元</w:t>
      </w:r>
      <w:r>
        <w:rPr>
          <w:rFonts w:ascii="Calibri" w:hAnsi="Calibri" w:cs="Calibri"/>
          <w:color w:val="000000"/>
          <w:sz w:val="18"/>
          <w:szCs w:val="18"/>
        </w:rPr>
        <w:t xml:space="preserve"> </w:t>
      </w:r>
      <w:r>
        <w:rPr>
          <w:rFonts w:hint="eastAsia"/>
          <w:color w:val="000000"/>
          <w:sz w:val="18"/>
          <w:szCs w:val="18"/>
        </w:rPr>
        <w:t>，具体内容详见公司于巨潮资讯网上披露的《</w:t>
      </w:r>
      <w:r>
        <w:rPr>
          <w:rFonts w:hint="eastAsia"/>
          <w:color w:val="000000"/>
          <w:spacing w:val="-16"/>
          <w:sz w:val="18"/>
          <w:szCs w:val="18"/>
        </w:rPr>
        <w:t>关于投资建设空压机制造基地工程项目的公告</w:t>
      </w:r>
      <w:r>
        <w:rPr>
          <w:rFonts w:hint="eastAsia"/>
          <w:color w:val="000000"/>
          <w:sz w:val="18"/>
          <w:szCs w:val="18"/>
        </w:rPr>
        <w:t>》（公告编号：</w:t>
      </w:r>
      <w:r>
        <w:rPr>
          <w:rFonts w:ascii="Calibri" w:hAnsi="Calibri" w:cs="Calibri"/>
          <w:color w:val="000000"/>
          <w:sz w:val="18"/>
          <w:szCs w:val="18"/>
        </w:rPr>
        <w:t>2022-053</w:t>
      </w:r>
      <w:r>
        <w:rPr>
          <w:rFonts w:hint="eastAsia"/>
          <w:color w:val="000000"/>
          <w:sz w:val="18"/>
          <w:szCs w:val="18"/>
        </w:rPr>
        <w:t>）</w:t>
      </w:r>
      <w:r>
        <w:rPr>
          <w:rFonts w:hint="eastAsia"/>
          <w:sz w:val="18"/>
          <w:szCs w:val="18"/>
        </w:rPr>
        <w:t xml:space="preserve"> </w:t>
      </w:r>
    </w:p>
    <w:p w:rsidR="005B7A09" w:rsidRDefault="005B7A09">
      <w:pPr>
        <w:pStyle w:val="a4"/>
        <w:divId w:val="535436922"/>
        <w:rPr>
          <w:sz w:val="18"/>
          <w:szCs w:val="18"/>
        </w:rPr>
      </w:pPr>
      <w:r>
        <w:rPr>
          <w:rFonts w:hint="eastAsia"/>
          <w:sz w:val="18"/>
          <w:szCs w:val="18"/>
        </w:rPr>
        <w:t>  </w:t>
      </w:r>
    </w:p>
    <w:p w:rsidR="00F7171B" w:rsidRDefault="00F7171B">
      <w:pPr>
        <w:pStyle w:val="a4"/>
        <w:divId w:val="535436922"/>
        <w:rPr>
          <w:sz w:val="18"/>
          <w:szCs w:val="18"/>
        </w:rPr>
      </w:pPr>
    </w:p>
    <w:p w:rsidR="00F7171B" w:rsidRDefault="00F7171B">
      <w:pPr>
        <w:pStyle w:val="a4"/>
        <w:divId w:val="535436922"/>
        <w:rPr>
          <w:sz w:val="18"/>
          <w:szCs w:val="18"/>
        </w:rPr>
      </w:pPr>
    </w:p>
    <w:p w:rsidR="00F7171B" w:rsidRDefault="00F7171B" w:rsidP="00F7171B">
      <w:pPr>
        <w:spacing w:line="360" w:lineRule="auto"/>
        <w:ind w:firstLineChars="2400" w:firstLine="5760"/>
        <w:divId w:val="535436922"/>
        <w:rPr>
          <w:sz w:val="24"/>
          <w:szCs w:val="24"/>
        </w:rPr>
      </w:pPr>
    </w:p>
    <w:p w:rsidR="00F7171B" w:rsidRDefault="00F7171B" w:rsidP="00F7171B">
      <w:pPr>
        <w:spacing w:line="360" w:lineRule="auto"/>
        <w:ind w:firstLineChars="2400" w:firstLine="5760"/>
        <w:divId w:val="535436922"/>
        <w:rPr>
          <w:sz w:val="24"/>
          <w:szCs w:val="24"/>
        </w:rPr>
      </w:pPr>
    </w:p>
    <w:p w:rsidR="00F7171B" w:rsidRDefault="00F7171B" w:rsidP="00F7171B">
      <w:pPr>
        <w:spacing w:line="360" w:lineRule="auto"/>
        <w:ind w:firstLineChars="2400" w:firstLine="5760"/>
        <w:divId w:val="535436922"/>
        <w:rPr>
          <w:sz w:val="24"/>
          <w:szCs w:val="24"/>
        </w:rPr>
      </w:pPr>
      <w:r>
        <w:rPr>
          <w:rFonts w:hint="eastAsia"/>
          <w:sz w:val="24"/>
          <w:szCs w:val="24"/>
        </w:rPr>
        <w:t>厦门东亚机械工业股份有限公司</w:t>
      </w:r>
      <w:r>
        <w:rPr>
          <w:sz w:val="24"/>
          <w:szCs w:val="24"/>
        </w:rPr>
        <w:t xml:space="preserve">                                                         </w:t>
      </w:r>
    </w:p>
    <w:p w:rsidR="00F7171B" w:rsidRDefault="00F7171B" w:rsidP="00F7171B">
      <w:pPr>
        <w:spacing w:line="360" w:lineRule="auto"/>
        <w:ind w:firstLineChars="2700" w:firstLine="6480"/>
        <w:divId w:val="535436922"/>
        <w:rPr>
          <w:sz w:val="24"/>
          <w:szCs w:val="24"/>
        </w:rPr>
      </w:pPr>
      <w:r>
        <w:rPr>
          <w:rFonts w:hint="eastAsia"/>
          <w:sz w:val="24"/>
          <w:szCs w:val="24"/>
        </w:rPr>
        <w:t>法定代表人：韩萤焕</w:t>
      </w:r>
    </w:p>
    <w:p w:rsidR="00F7171B" w:rsidRDefault="001D2019" w:rsidP="00F7171B">
      <w:pPr>
        <w:spacing w:line="360" w:lineRule="auto"/>
        <w:ind w:right="480"/>
        <w:jc w:val="right"/>
        <w:divId w:val="535436922"/>
        <w:rPr>
          <w:sz w:val="24"/>
          <w:szCs w:val="24"/>
        </w:rPr>
      </w:pPr>
      <w:r>
        <w:rPr>
          <w:rFonts w:hint="eastAsia"/>
          <w:sz w:val="24"/>
          <w:szCs w:val="24"/>
        </w:rPr>
        <w:t>二〇二三年四月二十五</w:t>
      </w:r>
      <w:bookmarkStart w:id="13" w:name="_GoBack"/>
      <w:bookmarkEnd w:id="13"/>
      <w:r w:rsidR="00F7171B">
        <w:rPr>
          <w:rFonts w:hint="eastAsia"/>
          <w:sz w:val="24"/>
          <w:szCs w:val="24"/>
        </w:rPr>
        <w:t>日</w:t>
      </w:r>
    </w:p>
    <w:p w:rsidR="00F7171B" w:rsidRPr="00F7171B" w:rsidRDefault="00F7171B">
      <w:pPr>
        <w:pStyle w:val="a4"/>
        <w:divId w:val="535436922"/>
      </w:pPr>
    </w:p>
    <w:sectPr w:rsidR="00F7171B" w:rsidRPr="00F7171B">
      <w:headerReference w:type="default" r:id="rId41"/>
      <w:footerReference w:type="default" r:id="rId42"/>
      <w:pgSz w:w="11905" w:h="16840"/>
      <w:pgMar w:top="850" w:right="1134" w:bottom="850" w:left="1134" w:header="850"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30C" w:rsidRDefault="0087630C">
      <w:r>
        <w:separator/>
      </w:r>
    </w:p>
  </w:endnote>
  <w:endnote w:type="continuationSeparator" w:id="0">
    <w:p w:rsidR="0087630C" w:rsidRDefault="00876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01A" w:rsidRDefault="005B7A09">
    <w:pPr>
      <w:pStyle w:val="fotter1"/>
    </w:pPr>
    <w:r>
      <w:fldChar w:fldCharType="begin"/>
    </w:r>
    <w:r>
      <w:instrText>PAGE   \* MERGEFORMAT</w:instrText>
    </w:r>
    <w:r>
      <w:fldChar w:fldCharType="separate"/>
    </w:r>
    <w:r w:rsidR="001D2019">
      <w:rPr>
        <w:noProof/>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30C" w:rsidRDefault="0087630C">
      <w:r>
        <w:separator/>
      </w:r>
    </w:p>
  </w:footnote>
  <w:footnote w:type="continuationSeparator" w:id="0">
    <w:p w:rsidR="0087630C" w:rsidRDefault="008763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01A" w:rsidRDefault="005B7A09">
    <w:pPr>
      <w:pStyle w:val="Header1"/>
      <w:pBdr>
        <w:bottom w:val="single" w:sz="6" w:space="1" w:color="auto"/>
      </w:pBdr>
    </w:pPr>
    <w:r>
      <w:t>厦门东亚机械工业股份有限公司2022年年度报告摘要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41001A"/>
    <w:rsid w:val="00142F6F"/>
    <w:rsid w:val="001D2019"/>
    <w:rsid w:val="0041001A"/>
    <w:rsid w:val="005B7A09"/>
    <w:rsid w:val="00634248"/>
    <w:rsid w:val="00852AF5"/>
    <w:rsid w:val="0087630C"/>
    <w:rsid w:val="00A70CEA"/>
    <w:rsid w:val="00BB5515"/>
    <w:rsid w:val="00E0697C"/>
    <w:rsid w:val="00F71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F4F9E1-5862-4BC9-AF38-FF0231821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next w:val="a"/>
    <w:uiPriority w:val="9"/>
    <w:unhideWhenUsed/>
    <w:qFormat/>
    <w:pPr>
      <w:keepNext/>
      <w:keepLines/>
      <w:spacing w:before="156" w:after="156"/>
      <w:outlineLvl w:val="1"/>
    </w:pPr>
    <w:rPr>
      <w:szCs w:val="21"/>
    </w:rPr>
  </w:style>
  <w:style w:type="paragraph" w:styleId="3">
    <w:name w:val="heading 3"/>
    <w:basedOn w:val="a"/>
    <w:next w:val="a"/>
    <w:uiPriority w:val="99"/>
    <w:qFormat/>
    <w:rsid w:val="00B74129"/>
    <w:pPr>
      <w:keepNext/>
      <w:keepLines/>
      <w:spacing w:before="300" w:after="300" w:line="241" w:lineRule="auto"/>
      <w:jc w:val="both"/>
      <w:outlineLvl w:val="2"/>
    </w:pPr>
    <w:rPr>
      <w:rFonts w:eastAsia="宋体"/>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 1"/>
    <w:pPr>
      <w:jc w:val="right"/>
    </w:pPr>
    <w:rPr>
      <w:rFonts w:ascii="宋体" w:eastAsia="宋体"/>
      <w:sz w:val="18"/>
      <w:szCs w:val="18"/>
    </w:rPr>
  </w:style>
  <w:style w:type="paragraph" w:customStyle="1" w:styleId="headingh1">
    <w:name w:val="heading h1"/>
    <w:basedOn w:val="a"/>
    <w:next w:val="a"/>
    <w:uiPriority w:val="9"/>
    <w:qFormat/>
    <w:pPr>
      <w:keepNext/>
      <w:keepLines/>
      <w:spacing w:before="240" w:after="240" w:line="578" w:lineRule="auto"/>
      <w:outlineLvl w:val="0"/>
    </w:pPr>
    <w:rPr>
      <w:kern w:val="44"/>
      <w:sz w:val="44"/>
      <w:szCs w:val="44"/>
    </w:rPr>
  </w:style>
  <w:style w:type="paragraph" w:customStyle="1" w:styleId="fotter1">
    <w:name w:val="fotter 1"/>
    <w:pPr>
      <w:jc w:val="right"/>
    </w:pPr>
    <w:rPr>
      <w:rFonts w:ascii="仿宋" w:eastAsia="仿宋"/>
      <w:szCs w:val="21"/>
    </w:rPr>
  </w:style>
  <w:style w:type="paragraph" w:styleId="1">
    <w:name w:val="toc 1"/>
    <w:basedOn w:val="a"/>
    <w:next w:val="a"/>
    <w:autoRedefine/>
    <w:uiPriority w:val="39"/>
  </w:style>
  <w:style w:type="paragraph" w:styleId="20">
    <w:name w:val="toc 2"/>
    <w:basedOn w:val="a"/>
    <w:next w:val="a"/>
    <w:autoRedefine/>
    <w:uiPriority w:val="39"/>
    <w:unhideWhenUsed/>
    <w:pPr>
      <w:ind w:leftChars="200" w:left="420"/>
    </w:pPr>
  </w:style>
  <w:style w:type="paragraph" w:styleId="a4">
    <w:name w:val="Normal (Web)"/>
    <w:basedOn w:val="a"/>
    <w:uiPriority w:val="99"/>
    <w:semiHidden/>
    <w:unhideWhenUsed/>
    <w:pPr>
      <w:widowControl/>
      <w:spacing w:before="100" w:beforeAutospacing="1" w:after="100" w:afterAutospacing="1"/>
    </w:pPr>
    <w:rPr>
      <w:rFonts w:ascii="宋体" w:eastAsia="宋体" w:hAnsi="宋体" w:cs="宋体"/>
      <w:kern w:val="0"/>
      <w:sz w:val="24"/>
      <w:szCs w:val="24"/>
    </w:rPr>
  </w:style>
  <w:style w:type="paragraph" w:styleId="a5">
    <w:name w:val="header"/>
    <w:basedOn w:val="a"/>
    <w:link w:val="Char"/>
    <w:uiPriority w:val="99"/>
    <w:unhideWhenUsed/>
    <w:rsid w:val="00BB55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B5515"/>
    <w:rPr>
      <w:sz w:val="18"/>
      <w:szCs w:val="18"/>
    </w:rPr>
  </w:style>
  <w:style w:type="paragraph" w:styleId="a6">
    <w:name w:val="footer"/>
    <w:basedOn w:val="a"/>
    <w:link w:val="Char0"/>
    <w:uiPriority w:val="99"/>
    <w:unhideWhenUsed/>
    <w:rsid w:val="00BB5515"/>
    <w:pPr>
      <w:tabs>
        <w:tab w:val="center" w:pos="4153"/>
        <w:tab w:val="right" w:pos="8306"/>
      </w:tabs>
      <w:snapToGrid w:val="0"/>
    </w:pPr>
    <w:rPr>
      <w:sz w:val="18"/>
      <w:szCs w:val="18"/>
    </w:rPr>
  </w:style>
  <w:style w:type="character" w:customStyle="1" w:styleId="Char0">
    <w:name w:val="页脚 Char"/>
    <w:basedOn w:val="a0"/>
    <w:link w:val="a6"/>
    <w:uiPriority w:val="99"/>
    <w:rsid w:val="00BB55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436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jp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13</Pages>
  <Words>3888</Words>
  <Characters>4588</Characters>
  <Application>Microsoft Office Word</Application>
  <DocSecurity>0</DocSecurity>
  <Lines>509</Lines>
  <Paragraphs>423</Paragraphs>
  <ScaleCrop>false</ScaleCrop>
  <Company/>
  <LinksUpToDate>false</LinksUpToDate>
  <CharactersWithSpaces>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许志用</cp:lastModifiedBy>
  <cp:revision>7</cp:revision>
  <dcterms:created xsi:type="dcterms:W3CDTF">2023-04-17T06:07:00Z</dcterms:created>
  <dcterms:modified xsi:type="dcterms:W3CDTF">2023-04-20T05:54:00Z</dcterms:modified>
</cp:coreProperties>
</file>