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94E" w:rsidRDefault="006311FB">
      <w:r>
        <w:rPr>
          <w:rFonts w:ascii="宋体" w:eastAsia="宋体" w:hAnsi="宋体" w:cs="宋体"/>
          <w:b/>
          <w:bCs/>
          <w:noProof/>
          <w:sz w:val="36"/>
          <w:szCs w:val="36"/>
        </w:rPr>
        <w:drawing>
          <wp:inline distT="0" distB="0" distL="0" distR="0" wp14:anchorId="4A15FA1B" wp14:editId="4828B04E">
            <wp:extent cx="6119495" cy="865632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年报封面.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8656320"/>
                    </a:xfrm>
                    <a:prstGeom prst="rect">
                      <a:avLst/>
                    </a:prstGeom>
                  </pic:spPr>
                </pic:pic>
              </a:graphicData>
            </a:graphic>
          </wp:inline>
        </w:drawing>
      </w:r>
    </w:p>
    <w:p w:rsidR="0080594E" w:rsidRDefault="000C39A3">
      <w:pPr>
        <w:spacing w:before="1000" w:after="40" w:line="440" w:lineRule="exact"/>
        <w:jc w:val="center"/>
        <w:rPr>
          <w:rFonts w:ascii="宋体" w:eastAsia="宋体" w:hAnsi="宋体" w:cs="宋体"/>
          <w:b/>
          <w:bCs/>
          <w:sz w:val="44"/>
          <w:szCs w:val="44"/>
        </w:rPr>
      </w:pPr>
      <w:r>
        <w:rPr>
          <w:rFonts w:ascii="宋体" w:eastAsia="宋体" w:hAnsi="宋体" w:cs="宋体"/>
          <w:b/>
          <w:bCs/>
          <w:sz w:val="44"/>
          <w:szCs w:val="44"/>
        </w:rPr>
        <w:lastRenderedPageBreak/>
        <w:t>2022年年度报告</w:t>
      </w:r>
    </w:p>
    <w:p w:rsidR="0080594E" w:rsidRDefault="000C39A3">
      <w:pPr>
        <w:pStyle w:val="headingh1"/>
        <w:spacing w:before="340" w:after="330" w:line="773" w:lineRule="exact"/>
        <w:jc w:val="center"/>
        <w:rPr>
          <w:rFonts w:ascii="宋体" w:eastAsia="宋体" w:hAnsi="宋体" w:cs="宋体"/>
          <w:b/>
          <w:bCs/>
          <w:sz w:val="32"/>
          <w:szCs w:val="32"/>
        </w:rPr>
      </w:pPr>
      <w:bookmarkStart w:id="0" w:name="_Toc988889"/>
      <w:r>
        <w:rPr>
          <w:rFonts w:ascii="宋体" w:eastAsia="宋体" w:hAnsi="宋体" w:cs="宋体"/>
          <w:b/>
          <w:bCs/>
          <w:sz w:val="32"/>
          <w:szCs w:val="32"/>
        </w:rPr>
        <w:t>第一节 重要提示、目录和释义</w:t>
      </w:r>
      <w:bookmarkEnd w:id="0"/>
    </w:p>
    <w:p w:rsidR="0080594E" w:rsidRDefault="000C39A3">
      <w:pPr>
        <w:spacing w:before="40" w:after="40"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公司董事会、监事会及董事、监事、高级管理人员保证年度报告内容的真实、准确、完整，不存在虚假记载、误导性陈述或者重大遗漏，并承担个别和连带的法律责任。</w:t>
      </w:r>
    </w:p>
    <w:p w:rsidR="0080594E" w:rsidRDefault="000C39A3">
      <w:pPr>
        <w:spacing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公司负责人韩萤焕、主管会计工作负责人岳秀丽及会计机构负责人(会计主管人员)岳秀丽声明：保证本年度报告中财务报告的真实、准确、完整。</w:t>
      </w:r>
    </w:p>
    <w:p w:rsidR="0080594E" w:rsidRDefault="000C39A3">
      <w:pPr>
        <w:spacing w:line="560" w:lineRule="exact"/>
        <w:rPr>
          <w:rFonts w:ascii="宋体" w:eastAsia="宋体" w:hAnsi="宋体" w:cs="宋体"/>
          <w:b/>
          <w:bCs/>
          <w:sz w:val="28"/>
          <w:szCs w:val="28"/>
        </w:rPr>
      </w:pPr>
      <w:r>
        <w:rPr>
          <w:rFonts w:ascii="宋体" w:eastAsia="宋体" w:hAnsi="宋体" w:cs="宋体"/>
          <w:b/>
          <w:bCs/>
          <w:sz w:val="28"/>
          <w:szCs w:val="28"/>
        </w:rPr>
        <w:t>所有董事均已出席了审议本报告的董事会会议。</w:t>
      </w:r>
    </w:p>
    <w:p w:rsidR="000C39A3" w:rsidRDefault="000C39A3">
      <w:pPr>
        <w:pStyle w:val="a4"/>
        <w:spacing w:line="560" w:lineRule="atLeast"/>
        <w:ind w:firstLine="648"/>
        <w:divId w:val="1430078394"/>
        <w:rPr>
          <w:b/>
          <w:bCs/>
          <w:sz w:val="28"/>
          <w:szCs w:val="28"/>
        </w:rPr>
      </w:pPr>
      <w:r>
        <w:rPr>
          <w:rFonts w:hint="eastAsia"/>
          <w:b/>
          <w:bCs/>
          <w:sz w:val="28"/>
          <w:szCs w:val="28"/>
        </w:rPr>
        <w:t>本年度报告中涉及的未来计划等前瞻性陈述，均不构成公司对投资者实质承诺，投资者及相关人士均应当对此保持足够的风险认识，并且应当理解计划、预测与承诺之间的差异。敬请广大投资者注意投资风险。</w:t>
      </w:r>
    </w:p>
    <w:p w:rsidR="000C39A3" w:rsidRDefault="000C39A3">
      <w:pPr>
        <w:pStyle w:val="a4"/>
        <w:spacing w:beforeAutospacing="0" w:afterAutospacing="0" w:line="560" w:lineRule="atLeast"/>
        <w:ind w:firstLine="648"/>
        <w:divId w:val="1320034527"/>
        <w:rPr>
          <w:b/>
          <w:bCs/>
          <w:sz w:val="28"/>
          <w:szCs w:val="28"/>
        </w:rPr>
      </w:pPr>
      <w:r>
        <w:rPr>
          <w:rFonts w:hint="eastAsia"/>
          <w:b/>
          <w:bCs/>
          <w:sz w:val="28"/>
          <w:szCs w:val="28"/>
        </w:rPr>
        <w:t>公司已在本报告中详细阐述了未来可能发生的有关风险因素，详见“第三节管理层讨论与分析”之“十一、公司未来发展的展望之（四）公司可能面对的风险”，敬请投资者予以关注。</w:t>
      </w:r>
    </w:p>
    <w:p w:rsidR="0080594E" w:rsidRDefault="000C39A3">
      <w:pPr>
        <w:spacing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公司经本次董事会审议通过的利润分配预案为：以378,912,000股为基数，向全体股东每10股派发现金红利1.5元（含税），送红股0股（含税），以资本公积金向全体股东每10股转增0股。</w:t>
      </w:r>
    </w:p>
    <w:p w:rsidR="0080594E" w:rsidRDefault="000C39A3">
      <w:r>
        <w:br w:type="page"/>
      </w:r>
    </w:p>
    <w:p w:rsidR="0080594E" w:rsidRDefault="000C39A3">
      <w:pPr>
        <w:spacing w:line="720" w:lineRule="exact"/>
        <w:jc w:val="center"/>
        <w:rPr>
          <w:rFonts w:ascii="宋体" w:eastAsia="宋体" w:hAnsi="宋体" w:cs="宋体"/>
          <w:b/>
          <w:bCs/>
          <w:sz w:val="36"/>
          <w:szCs w:val="36"/>
        </w:rPr>
      </w:pPr>
      <w:r>
        <w:rPr>
          <w:rFonts w:ascii="宋体" w:eastAsia="宋体" w:hAnsi="宋体" w:cs="宋体"/>
          <w:b/>
          <w:bCs/>
          <w:sz w:val="36"/>
          <w:szCs w:val="36"/>
        </w:rPr>
        <w:lastRenderedPageBreak/>
        <w:t>目录</w:t>
      </w:r>
    </w:p>
    <w:p w:rsidR="0080594E" w:rsidRDefault="000C39A3">
      <w:pPr>
        <w:pStyle w:val="1"/>
        <w:tabs>
          <w:tab w:val="left" w:leader="dot" w:pos="9469"/>
        </w:tabs>
        <w:rPr>
          <w:noProof/>
        </w:rPr>
      </w:pPr>
      <w:r>
        <w:fldChar w:fldCharType="begin"/>
      </w:r>
      <w:r>
        <w:instrText xml:space="preserve"> </w:instrText>
      </w:r>
      <w:r>
        <w:rPr>
          <w:rFonts w:ascii="宋体" w:eastAsia="宋体" w:hAnsi="宋体" w:hint="eastAsia"/>
        </w:rPr>
        <w:instrText>TOC \o "1-2" \h \z \u</w:instrText>
      </w:r>
      <w:r>
        <w:instrText xml:space="preserve"> </w:instrText>
      </w:r>
      <w:r>
        <w:fldChar w:fldCharType="separate"/>
      </w:r>
      <w:hyperlink w:anchor="_Toc988889" w:history="1">
        <w:r>
          <w:rPr>
            <w:rFonts w:ascii="宋体" w:eastAsia="宋体" w:hAnsi="宋体" w:hint="eastAsia"/>
            <w:b/>
            <w:bCs/>
            <w:noProof/>
            <w:sz w:val="24"/>
          </w:rPr>
          <w:t>第一节 重要提示、目录和释义</w:t>
        </w:r>
        <w:r>
          <w:rPr>
            <w:noProof/>
            <w:webHidden/>
          </w:rPr>
          <w:tab/>
        </w:r>
        <w:r>
          <w:rPr>
            <w:noProof/>
            <w:webHidden/>
          </w:rPr>
          <w:fldChar w:fldCharType="begin"/>
        </w:r>
        <w:r>
          <w:rPr>
            <w:noProof/>
            <w:webHidden/>
          </w:rPr>
          <w:instrText xml:space="preserve"> PAGEREF _Toc988889 \h </w:instrText>
        </w:r>
        <w:r>
          <w:rPr>
            <w:noProof/>
            <w:webHidden/>
          </w:rPr>
        </w:r>
        <w:r>
          <w:rPr>
            <w:noProof/>
            <w:webHidden/>
          </w:rPr>
          <w:fldChar w:fldCharType="separate"/>
        </w:r>
        <w:r w:rsidR="00A411EB">
          <w:rPr>
            <w:noProof/>
            <w:webHidden/>
          </w:rPr>
          <w:t>2</w:t>
        </w:r>
        <w:r>
          <w:rPr>
            <w:noProof/>
            <w:webHidden/>
          </w:rPr>
          <w:fldChar w:fldCharType="end"/>
        </w:r>
      </w:hyperlink>
    </w:p>
    <w:p w:rsidR="0080594E" w:rsidRDefault="00650FF4">
      <w:pPr>
        <w:pStyle w:val="1"/>
        <w:tabs>
          <w:tab w:val="left" w:leader="dot" w:pos="9469"/>
        </w:tabs>
        <w:rPr>
          <w:noProof/>
        </w:rPr>
      </w:pPr>
      <w:hyperlink w:anchor="_Toc988890" w:history="1">
        <w:r w:rsidR="000C39A3">
          <w:rPr>
            <w:rFonts w:ascii="宋体" w:eastAsia="宋体" w:hAnsi="宋体" w:hint="eastAsia"/>
            <w:b/>
            <w:bCs/>
            <w:noProof/>
            <w:sz w:val="24"/>
          </w:rPr>
          <w:t>第二节 公司简介和主要财务指标</w:t>
        </w:r>
        <w:r w:rsidR="000C39A3">
          <w:rPr>
            <w:noProof/>
            <w:webHidden/>
          </w:rPr>
          <w:tab/>
        </w:r>
        <w:r w:rsidR="000C39A3">
          <w:rPr>
            <w:noProof/>
            <w:webHidden/>
          </w:rPr>
          <w:fldChar w:fldCharType="begin"/>
        </w:r>
        <w:r w:rsidR="000C39A3">
          <w:rPr>
            <w:noProof/>
            <w:webHidden/>
          </w:rPr>
          <w:instrText xml:space="preserve"> PAGEREF _Toc988890 \h </w:instrText>
        </w:r>
        <w:r w:rsidR="000C39A3">
          <w:rPr>
            <w:noProof/>
            <w:webHidden/>
          </w:rPr>
        </w:r>
        <w:r w:rsidR="000C39A3">
          <w:rPr>
            <w:noProof/>
            <w:webHidden/>
          </w:rPr>
          <w:fldChar w:fldCharType="separate"/>
        </w:r>
        <w:r w:rsidR="00A411EB">
          <w:rPr>
            <w:noProof/>
            <w:webHidden/>
          </w:rPr>
          <w:t>7</w:t>
        </w:r>
        <w:r w:rsidR="000C39A3">
          <w:rPr>
            <w:noProof/>
            <w:webHidden/>
          </w:rPr>
          <w:fldChar w:fldCharType="end"/>
        </w:r>
      </w:hyperlink>
    </w:p>
    <w:p w:rsidR="0080594E" w:rsidRDefault="00650FF4">
      <w:pPr>
        <w:pStyle w:val="1"/>
        <w:tabs>
          <w:tab w:val="left" w:leader="dot" w:pos="9469"/>
        </w:tabs>
        <w:rPr>
          <w:noProof/>
        </w:rPr>
      </w:pPr>
      <w:hyperlink w:anchor="_Toc988901" w:history="1">
        <w:r w:rsidR="000C39A3">
          <w:rPr>
            <w:rFonts w:ascii="宋体" w:eastAsia="宋体" w:hAnsi="宋体" w:hint="eastAsia"/>
            <w:b/>
            <w:bCs/>
            <w:noProof/>
            <w:sz w:val="24"/>
          </w:rPr>
          <w:t>第三节 管理层讨论与分析</w:t>
        </w:r>
        <w:r w:rsidR="000C39A3">
          <w:rPr>
            <w:noProof/>
            <w:webHidden/>
          </w:rPr>
          <w:tab/>
        </w:r>
        <w:r w:rsidR="000C39A3">
          <w:rPr>
            <w:noProof/>
            <w:webHidden/>
          </w:rPr>
          <w:fldChar w:fldCharType="begin"/>
        </w:r>
        <w:r w:rsidR="000C39A3">
          <w:rPr>
            <w:noProof/>
            <w:webHidden/>
          </w:rPr>
          <w:instrText xml:space="preserve"> PAGEREF _Toc988901 \h </w:instrText>
        </w:r>
        <w:r w:rsidR="000C39A3">
          <w:rPr>
            <w:noProof/>
            <w:webHidden/>
          </w:rPr>
        </w:r>
        <w:r w:rsidR="000C39A3">
          <w:rPr>
            <w:noProof/>
            <w:webHidden/>
          </w:rPr>
          <w:fldChar w:fldCharType="separate"/>
        </w:r>
        <w:r w:rsidR="00A411EB">
          <w:rPr>
            <w:noProof/>
            <w:webHidden/>
          </w:rPr>
          <w:t>10</w:t>
        </w:r>
        <w:r w:rsidR="000C39A3">
          <w:rPr>
            <w:noProof/>
            <w:webHidden/>
          </w:rPr>
          <w:fldChar w:fldCharType="end"/>
        </w:r>
      </w:hyperlink>
    </w:p>
    <w:p w:rsidR="0080594E" w:rsidRDefault="00650FF4">
      <w:pPr>
        <w:pStyle w:val="1"/>
        <w:tabs>
          <w:tab w:val="left" w:leader="dot" w:pos="9469"/>
        </w:tabs>
        <w:rPr>
          <w:noProof/>
        </w:rPr>
      </w:pPr>
      <w:hyperlink w:anchor="_Toc988942" w:history="1">
        <w:r w:rsidR="000C39A3">
          <w:rPr>
            <w:rFonts w:ascii="宋体" w:eastAsia="宋体" w:hAnsi="宋体" w:hint="eastAsia"/>
            <w:b/>
            <w:bCs/>
            <w:noProof/>
            <w:sz w:val="24"/>
          </w:rPr>
          <w:t>第四节 公司治理</w:t>
        </w:r>
        <w:r w:rsidR="000C39A3">
          <w:rPr>
            <w:noProof/>
            <w:webHidden/>
          </w:rPr>
          <w:tab/>
        </w:r>
        <w:r w:rsidR="000C39A3">
          <w:rPr>
            <w:noProof/>
            <w:webHidden/>
          </w:rPr>
          <w:fldChar w:fldCharType="begin"/>
        </w:r>
        <w:r w:rsidR="000C39A3">
          <w:rPr>
            <w:noProof/>
            <w:webHidden/>
          </w:rPr>
          <w:instrText xml:space="preserve"> PAGEREF _Toc988942 \h </w:instrText>
        </w:r>
        <w:r w:rsidR="000C39A3">
          <w:rPr>
            <w:noProof/>
            <w:webHidden/>
          </w:rPr>
        </w:r>
        <w:r w:rsidR="000C39A3">
          <w:rPr>
            <w:noProof/>
            <w:webHidden/>
          </w:rPr>
          <w:fldChar w:fldCharType="separate"/>
        </w:r>
        <w:r w:rsidR="00A411EB">
          <w:rPr>
            <w:noProof/>
            <w:webHidden/>
          </w:rPr>
          <w:t>43</w:t>
        </w:r>
        <w:r w:rsidR="000C39A3">
          <w:rPr>
            <w:noProof/>
            <w:webHidden/>
          </w:rPr>
          <w:fldChar w:fldCharType="end"/>
        </w:r>
      </w:hyperlink>
    </w:p>
    <w:p w:rsidR="0080594E" w:rsidRDefault="00650FF4">
      <w:pPr>
        <w:pStyle w:val="1"/>
        <w:tabs>
          <w:tab w:val="left" w:leader="dot" w:pos="9469"/>
        </w:tabs>
        <w:rPr>
          <w:noProof/>
        </w:rPr>
      </w:pPr>
      <w:hyperlink w:anchor="_Toc988977" w:history="1">
        <w:r w:rsidR="000C39A3">
          <w:rPr>
            <w:rFonts w:ascii="宋体" w:eastAsia="宋体" w:hAnsi="宋体" w:hint="eastAsia"/>
            <w:b/>
            <w:bCs/>
            <w:noProof/>
            <w:sz w:val="24"/>
          </w:rPr>
          <w:t>第五节 环境和社会责任</w:t>
        </w:r>
        <w:r w:rsidR="000C39A3">
          <w:rPr>
            <w:noProof/>
            <w:webHidden/>
          </w:rPr>
          <w:tab/>
        </w:r>
        <w:r w:rsidR="000C39A3">
          <w:rPr>
            <w:noProof/>
            <w:webHidden/>
          </w:rPr>
          <w:fldChar w:fldCharType="begin"/>
        </w:r>
        <w:r w:rsidR="000C39A3">
          <w:rPr>
            <w:noProof/>
            <w:webHidden/>
          </w:rPr>
          <w:instrText xml:space="preserve"> PAGEREF _Toc988977 \h </w:instrText>
        </w:r>
        <w:r w:rsidR="000C39A3">
          <w:rPr>
            <w:noProof/>
            <w:webHidden/>
          </w:rPr>
        </w:r>
        <w:r w:rsidR="000C39A3">
          <w:rPr>
            <w:noProof/>
            <w:webHidden/>
          </w:rPr>
          <w:fldChar w:fldCharType="separate"/>
        </w:r>
        <w:r w:rsidR="00A411EB">
          <w:rPr>
            <w:noProof/>
            <w:webHidden/>
          </w:rPr>
          <w:t>61</w:t>
        </w:r>
        <w:r w:rsidR="000C39A3">
          <w:rPr>
            <w:noProof/>
            <w:webHidden/>
          </w:rPr>
          <w:fldChar w:fldCharType="end"/>
        </w:r>
      </w:hyperlink>
    </w:p>
    <w:p w:rsidR="0080594E" w:rsidRDefault="00650FF4">
      <w:pPr>
        <w:pStyle w:val="1"/>
        <w:tabs>
          <w:tab w:val="left" w:leader="dot" w:pos="9469"/>
        </w:tabs>
        <w:rPr>
          <w:noProof/>
        </w:rPr>
      </w:pPr>
      <w:hyperlink w:anchor="_Toc988981" w:history="1">
        <w:r w:rsidR="000C39A3">
          <w:rPr>
            <w:rFonts w:ascii="宋体" w:eastAsia="宋体" w:hAnsi="宋体" w:hint="eastAsia"/>
            <w:b/>
            <w:bCs/>
            <w:noProof/>
            <w:sz w:val="24"/>
          </w:rPr>
          <w:t>第六节 重要事项</w:t>
        </w:r>
        <w:r w:rsidR="000C39A3">
          <w:rPr>
            <w:noProof/>
            <w:webHidden/>
          </w:rPr>
          <w:tab/>
        </w:r>
        <w:r w:rsidR="000C39A3">
          <w:rPr>
            <w:noProof/>
            <w:webHidden/>
          </w:rPr>
          <w:fldChar w:fldCharType="begin"/>
        </w:r>
        <w:r w:rsidR="000C39A3">
          <w:rPr>
            <w:noProof/>
            <w:webHidden/>
          </w:rPr>
          <w:instrText xml:space="preserve"> PAGEREF _Toc988981 \h </w:instrText>
        </w:r>
        <w:r w:rsidR="000C39A3">
          <w:rPr>
            <w:noProof/>
            <w:webHidden/>
          </w:rPr>
        </w:r>
        <w:r w:rsidR="000C39A3">
          <w:rPr>
            <w:noProof/>
            <w:webHidden/>
          </w:rPr>
          <w:fldChar w:fldCharType="separate"/>
        </w:r>
        <w:r w:rsidR="00A411EB">
          <w:rPr>
            <w:noProof/>
            <w:webHidden/>
          </w:rPr>
          <w:t>67</w:t>
        </w:r>
        <w:r w:rsidR="000C39A3">
          <w:rPr>
            <w:noProof/>
            <w:webHidden/>
          </w:rPr>
          <w:fldChar w:fldCharType="end"/>
        </w:r>
      </w:hyperlink>
    </w:p>
    <w:p w:rsidR="0080594E" w:rsidRDefault="00650FF4">
      <w:pPr>
        <w:pStyle w:val="1"/>
        <w:tabs>
          <w:tab w:val="left" w:leader="dot" w:pos="9469"/>
        </w:tabs>
        <w:rPr>
          <w:noProof/>
        </w:rPr>
      </w:pPr>
      <w:hyperlink w:anchor="_Toc989017" w:history="1">
        <w:r w:rsidR="000C39A3">
          <w:rPr>
            <w:rFonts w:ascii="宋体" w:eastAsia="宋体" w:hAnsi="宋体" w:hint="eastAsia"/>
            <w:b/>
            <w:bCs/>
            <w:noProof/>
            <w:sz w:val="24"/>
          </w:rPr>
          <w:t>第七节 股份变动及股东情况</w:t>
        </w:r>
        <w:r w:rsidR="000C39A3">
          <w:rPr>
            <w:noProof/>
            <w:webHidden/>
          </w:rPr>
          <w:tab/>
        </w:r>
        <w:r w:rsidR="000C39A3">
          <w:rPr>
            <w:noProof/>
            <w:webHidden/>
          </w:rPr>
          <w:fldChar w:fldCharType="begin"/>
        </w:r>
        <w:r w:rsidR="000C39A3">
          <w:rPr>
            <w:noProof/>
            <w:webHidden/>
          </w:rPr>
          <w:instrText xml:space="preserve"> PAGEREF _Toc989017 \h </w:instrText>
        </w:r>
        <w:r w:rsidR="000C39A3">
          <w:rPr>
            <w:noProof/>
            <w:webHidden/>
          </w:rPr>
        </w:r>
        <w:r w:rsidR="000C39A3">
          <w:rPr>
            <w:noProof/>
            <w:webHidden/>
          </w:rPr>
          <w:fldChar w:fldCharType="separate"/>
        </w:r>
        <w:r w:rsidR="00A411EB">
          <w:rPr>
            <w:noProof/>
            <w:webHidden/>
          </w:rPr>
          <w:t>103</w:t>
        </w:r>
        <w:r w:rsidR="000C39A3">
          <w:rPr>
            <w:noProof/>
            <w:webHidden/>
          </w:rPr>
          <w:fldChar w:fldCharType="end"/>
        </w:r>
      </w:hyperlink>
    </w:p>
    <w:p w:rsidR="0080594E" w:rsidRDefault="00650FF4">
      <w:pPr>
        <w:pStyle w:val="1"/>
        <w:tabs>
          <w:tab w:val="left" w:leader="dot" w:pos="9469"/>
        </w:tabs>
        <w:rPr>
          <w:noProof/>
        </w:rPr>
      </w:pPr>
      <w:hyperlink w:anchor="_Toc989033" w:history="1">
        <w:r w:rsidR="000C39A3">
          <w:rPr>
            <w:rFonts w:ascii="宋体" w:eastAsia="宋体" w:hAnsi="宋体" w:hint="eastAsia"/>
            <w:b/>
            <w:bCs/>
            <w:noProof/>
            <w:sz w:val="24"/>
          </w:rPr>
          <w:t>第八节 优先股相关情况</w:t>
        </w:r>
        <w:r w:rsidR="000C39A3">
          <w:rPr>
            <w:noProof/>
            <w:webHidden/>
          </w:rPr>
          <w:tab/>
        </w:r>
        <w:r w:rsidR="000C39A3">
          <w:rPr>
            <w:noProof/>
            <w:webHidden/>
          </w:rPr>
          <w:fldChar w:fldCharType="begin"/>
        </w:r>
        <w:r w:rsidR="000C39A3">
          <w:rPr>
            <w:noProof/>
            <w:webHidden/>
          </w:rPr>
          <w:instrText xml:space="preserve"> PAGEREF _Toc989033 \h </w:instrText>
        </w:r>
        <w:r w:rsidR="000C39A3">
          <w:rPr>
            <w:noProof/>
            <w:webHidden/>
          </w:rPr>
        </w:r>
        <w:r w:rsidR="000C39A3">
          <w:rPr>
            <w:noProof/>
            <w:webHidden/>
          </w:rPr>
          <w:fldChar w:fldCharType="separate"/>
        </w:r>
        <w:r w:rsidR="00A411EB">
          <w:rPr>
            <w:noProof/>
            <w:webHidden/>
          </w:rPr>
          <w:t>110</w:t>
        </w:r>
        <w:r w:rsidR="000C39A3">
          <w:rPr>
            <w:noProof/>
            <w:webHidden/>
          </w:rPr>
          <w:fldChar w:fldCharType="end"/>
        </w:r>
      </w:hyperlink>
    </w:p>
    <w:p w:rsidR="0080594E" w:rsidRDefault="00650FF4">
      <w:pPr>
        <w:pStyle w:val="1"/>
        <w:tabs>
          <w:tab w:val="left" w:leader="dot" w:pos="9469"/>
        </w:tabs>
        <w:rPr>
          <w:noProof/>
        </w:rPr>
      </w:pPr>
      <w:hyperlink w:anchor="_Toc989034" w:history="1">
        <w:r w:rsidR="000C39A3">
          <w:rPr>
            <w:rFonts w:ascii="宋体" w:eastAsia="宋体" w:hAnsi="宋体" w:hint="eastAsia"/>
            <w:b/>
            <w:bCs/>
            <w:noProof/>
            <w:sz w:val="24"/>
          </w:rPr>
          <w:t>第九节 债券相关情况</w:t>
        </w:r>
        <w:r w:rsidR="000C39A3">
          <w:rPr>
            <w:noProof/>
            <w:webHidden/>
          </w:rPr>
          <w:tab/>
        </w:r>
        <w:r w:rsidR="000C39A3">
          <w:rPr>
            <w:noProof/>
            <w:webHidden/>
          </w:rPr>
          <w:fldChar w:fldCharType="begin"/>
        </w:r>
        <w:r w:rsidR="000C39A3">
          <w:rPr>
            <w:noProof/>
            <w:webHidden/>
          </w:rPr>
          <w:instrText xml:space="preserve"> PAGEREF _Toc989034 \h </w:instrText>
        </w:r>
        <w:r w:rsidR="000C39A3">
          <w:rPr>
            <w:noProof/>
            <w:webHidden/>
          </w:rPr>
        </w:r>
        <w:r w:rsidR="000C39A3">
          <w:rPr>
            <w:noProof/>
            <w:webHidden/>
          </w:rPr>
          <w:fldChar w:fldCharType="separate"/>
        </w:r>
        <w:r w:rsidR="00A411EB">
          <w:rPr>
            <w:noProof/>
            <w:webHidden/>
          </w:rPr>
          <w:t>111</w:t>
        </w:r>
        <w:r w:rsidR="000C39A3">
          <w:rPr>
            <w:noProof/>
            <w:webHidden/>
          </w:rPr>
          <w:fldChar w:fldCharType="end"/>
        </w:r>
      </w:hyperlink>
    </w:p>
    <w:p w:rsidR="0080594E" w:rsidRDefault="00650FF4">
      <w:pPr>
        <w:pStyle w:val="1"/>
        <w:tabs>
          <w:tab w:val="left" w:leader="dot" w:pos="9469"/>
        </w:tabs>
        <w:rPr>
          <w:noProof/>
        </w:rPr>
      </w:pPr>
      <w:hyperlink w:anchor="_Toc989035" w:history="1">
        <w:r w:rsidR="000C39A3">
          <w:rPr>
            <w:rFonts w:ascii="宋体" w:eastAsia="宋体" w:hAnsi="宋体" w:hint="eastAsia"/>
            <w:b/>
            <w:bCs/>
            <w:noProof/>
            <w:sz w:val="24"/>
          </w:rPr>
          <w:t>第十节 财务报告</w:t>
        </w:r>
        <w:r w:rsidR="000C39A3">
          <w:rPr>
            <w:noProof/>
            <w:webHidden/>
          </w:rPr>
          <w:tab/>
        </w:r>
        <w:r w:rsidR="000C39A3">
          <w:rPr>
            <w:noProof/>
            <w:webHidden/>
          </w:rPr>
          <w:fldChar w:fldCharType="begin"/>
        </w:r>
        <w:r w:rsidR="000C39A3">
          <w:rPr>
            <w:noProof/>
            <w:webHidden/>
          </w:rPr>
          <w:instrText xml:space="preserve"> PAGEREF _Toc989035 \h </w:instrText>
        </w:r>
        <w:r w:rsidR="000C39A3">
          <w:rPr>
            <w:noProof/>
            <w:webHidden/>
          </w:rPr>
        </w:r>
        <w:r w:rsidR="000C39A3">
          <w:rPr>
            <w:noProof/>
            <w:webHidden/>
          </w:rPr>
          <w:fldChar w:fldCharType="separate"/>
        </w:r>
        <w:r w:rsidR="00A411EB">
          <w:rPr>
            <w:noProof/>
            <w:webHidden/>
          </w:rPr>
          <w:t>112</w:t>
        </w:r>
        <w:r w:rsidR="000C39A3">
          <w:rPr>
            <w:noProof/>
            <w:webHidden/>
          </w:rPr>
          <w:fldChar w:fldCharType="end"/>
        </w:r>
      </w:hyperlink>
      <w:r w:rsidR="000C39A3">
        <w:fldChar w:fldCharType="end"/>
      </w:r>
    </w:p>
    <w:p w:rsidR="0080594E" w:rsidRDefault="000C39A3">
      <w:r>
        <w:br w:type="page"/>
      </w:r>
      <w:bookmarkStart w:id="1" w:name="_GoBack"/>
      <w:bookmarkEnd w:id="1"/>
    </w:p>
    <w:p w:rsidR="0080594E" w:rsidRDefault="000C39A3">
      <w:pPr>
        <w:spacing w:line="640" w:lineRule="exact"/>
        <w:jc w:val="center"/>
        <w:rPr>
          <w:rFonts w:ascii="宋体" w:eastAsia="宋体" w:hAnsi="宋体" w:cs="宋体"/>
          <w:b/>
          <w:bCs/>
          <w:sz w:val="32"/>
          <w:szCs w:val="32"/>
        </w:rPr>
      </w:pPr>
      <w:r>
        <w:rPr>
          <w:rFonts w:ascii="宋体" w:eastAsia="宋体" w:hAnsi="宋体" w:cs="宋体"/>
          <w:b/>
          <w:bCs/>
          <w:sz w:val="32"/>
          <w:szCs w:val="32"/>
        </w:rPr>
        <w:lastRenderedPageBreak/>
        <w:t>备查文件目录</w:t>
      </w:r>
    </w:p>
    <w:p w:rsidR="000C39A3" w:rsidRPr="003A05C1" w:rsidRDefault="000C39A3">
      <w:pPr>
        <w:pStyle w:val="a4"/>
        <w:spacing w:line="560" w:lineRule="atLeast"/>
        <w:ind w:firstLine="408"/>
        <w:divId w:val="236482607"/>
      </w:pPr>
      <w:r w:rsidRPr="003A05C1">
        <w:rPr>
          <w:rFonts w:hint="eastAsia"/>
        </w:rPr>
        <w:t>（一）载有公司负责人、主管会计工作负责人、会计机构负责人（会计主管人员）签名并盖章的财务报表。</w:t>
      </w:r>
    </w:p>
    <w:p w:rsidR="000C39A3" w:rsidRPr="003A05C1" w:rsidRDefault="000C39A3">
      <w:pPr>
        <w:pStyle w:val="a4"/>
        <w:spacing w:line="560" w:lineRule="atLeast"/>
        <w:ind w:firstLine="408"/>
        <w:divId w:val="236482607"/>
      </w:pPr>
      <w:r w:rsidRPr="003A05C1">
        <w:rPr>
          <w:rFonts w:hint="eastAsia"/>
        </w:rPr>
        <w:t>（二）载有会计师事务所盖章、注册会计师签名并盖章的审计报告原件。</w:t>
      </w:r>
    </w:p>
    <w:p w:rsidR="000C39A3" w:rsidRPr="003A05C1" w:rsidRDefault="000C39A3">
      <w:pPr>
        <w:pStyle w:val="a4"/>
        <w:spacing w:line="560" w:lineRule="atLeast"/>
        <w:ind w:firstLine="408"/>
        <w:divId w:val="236482607"/>
      </w:pPr>
      <w:r w:rsidRPr="003A05C1">
        <w:rPr>
          <w:rFonts w:hint="eastAsia"/>
        </w:rPr>
        <w:t>（三）报告期内公开披露过的所有公司文件的正本及公告的原稿。</w:t>
      </w:r>
    </w:p>
    <w:p w:rsidR="000C39A3" w:rsidRPr="003A05C1" w:rsidRDefault="000C39A3">
      <w:pPr>
        <w:pStyle w:val="a4"/>
        <w:spacing w:line="560" w:lineRule="atLeast"/>
        <w:ind w:firstLine="408"/>
        <w:divId w:val="236482607"/>
      </w:pPr>
      <w:r w:rsidRPr="003A05C1">
        <w:rPr>
          <w:rFonts w:hint="eastAsia"/>
        </w:rPr>
        <w:t>（四）在其他证券市场公布的年度报告。</w:t>
      </w:r>
    </w:p>
    <w:p w:rsidR="000C39A3" w:rsidRPr="003A05C1" w:rsidRDefault="000C39A3">
      <w:pPr>
        <w:pStyle w:val="a4"/>
        <w:spacing w:line="560" w:lineRule="atLeast"/>
        <w:ind w:firstLine="408"/>
        <w:divId w:val="236482607"/>
      </w:pPr>
      <w:r w:rsidRPr="003A05C1">
        <w:rPr>
          <w:rFonts w:hint="eastAsia"/>
        </w:rPr>
        <w:t>以上备查文件的备置地点：公司证券部。</w:t>
      </w:r>
    </w:p>
    <w:p w:rsidR="0080594E" w:rsidRDefault="000C39A3">
      <w:r>
        <w:br w:type="page"/>
      </w:r>
    </w:p>
    <w:p w:rsidR="0080594E" w:rsidRDefault="000C39A3">
      <w:pPr>
        <w:spacing w:before="40" w:after="40" w:line="560" w:lineRule="exact"/>
        <w:jc w:val="center"/>
        <w:rPr>
          <w:rFonts w:ascii="宋体" w:eastAsia="宋体" w:hAnsi="宋体" w:cs="宋体"/>
          <w:b/>
          <w:bCs/>
          <w:sz w:val="32"/>
          <w:szCs w:val="32"/>
        </w:rPr>
      </w:pPr>
      <w:r>
        <w:rPr>
          <w:rFonts w:ascii="宋体" w:eastAsia="宋体" w:hAnsi="宋体" w:cs="宋体"/>
          <w:b/>
          <w:bCs/>
          <w:sz w:val="32"/>
          <w:szCs w:val="32"/>
        </w:rPr>
        <w:lastRenderedPageBreak/>
        <w:t>释义</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释义项</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释义内容</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中国证监会</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中国证券监督管理委员会</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深交所</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深圳证券交易所</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公司、东亚机械、本公司</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东亚有限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厦门东亚机械有限公司</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控股股东、实际控制人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韩萤焕、韩文浩、罗秀英</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太平洋捷豹控股有限公司（Pacific Jaguar Holdings Limited）</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惠福资本</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厦门惠福资本投资合伙企业（有限合伙）</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福瑞高科</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厦门福瑞高科投资合伙企业（有限合伙）</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发富投资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厦门发富投资合伙企业（有限合伙）</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Pacific Goal</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Pacific Goal Holdings Limited（BVI）</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Profit Goal</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Profit Goal International CORP.（BVI）</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Grand Top</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Grand Top Industrial INC.（BVI）</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Intertek Global</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Intertek Global CORP.（BVI）</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Profit Queen</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Profit Queen International CORP.（BVI）</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报告期、本报告期、本期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2022年1月1日至2022年12月31日</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上年同期、上期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2021年1月1日至2021年12月31日</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元、万元、亿元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人民币元、人民币万元、人民币亿元</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空气压缩机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又称"空压机"，将动力能转化为空气压力能和速度，用来提高气体压力和输送气体的机械装置</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螺杆式空气压缩机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又称"螺杆式压缩机"、"螺杆机"，空气的压缩是靠装置于机壳内互相平行啮合的阴阳转子的齿槽之容积变化而达到。这对阴阳转子在与它精密配合的机壳内转动使转子齿槽之间的气体不断地产生周期性的容积变化而沿着转子轴线，由吸入侧推向排出侧，完成吸入、压缩、排气三个工作过程</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二级压缩螺杆式空压机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又称"两级压缩螺杆机"，将压缩过程分两次进行的螺杆式压缩机</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活塞式压缩机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活塞式空气压缩机，又称活塞式空压机，通过活塞在气缸中作往复运动来压缩气体的轴驱动压缩机</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螺杆式压缩机主机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俗称"机头"，螺杆式压缩机的核心部件，压缩机通过螺杆主机提供压缩空气</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无油螺杆空气压缩机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又称"无油机"，压缩空气的过程，产生完全无油的压缩空气</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真空泵</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利用机械、物理、化学或物理化学的方法对被抽容器进行抽气而获得真空的器件或设备。通俗来讲，真空泵是用各种方法在某一封闭空间中改善、</w:t>
            </w:r>
            <w:r>
              <w:rPr>
                <w:rFonts w:ascii="宋体" w:eastAsia="宋体" w:hAnsi="宋体" w:cs="宋体"/>
                <w:sz w:val="18"/>
                <w:szCs w:val="18"/>
              </w:rPr>
              <w:lastRenderedPageBreak/>
              <w:t>产生和维持真空的装置。</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离心鼓风机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利用高速旋转的叶轮将气体加速，然后减速、改变流向，使动能转换成势能（压力）</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专精特新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"专业化、精细化、特色化、新颖化"</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SA-CVD、PE-CVD</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半导体工业中应用最为广泛的用来沉积多种材料的技术，包括大范围的绝缘材料，大多数金属材料和金属合金材料</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碳中和</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国家、企业、产品、活动或个人在一定时间内直接或间接产生的二氧化碳或温室气体排放总量，通过植树造林、节能减排等形式，以抵消自身产生的二氧化碳或温室气体排放量，实现正负抵消，达到相对“零排放”。</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碳达峰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我国承诺2030年前，二氧化碳的排放不再增长，达到峰值之后逐步降低。</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国务院</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中华人民共和国国务院</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国家发改委</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中华人民共和国国家发展和改革委员会</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工信部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中华人民共和国工业和信息化部</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科技部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中华人民共和国科学技术部</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尾差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本报告除特别说明外，若出现总数与各分项数值之和尾数不符的情况，均为四舍五入原因造成</w:t>
            </w:r>
          </w:p>
        </w:tc>
      </w:tr>
    </w:tbl>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2" w:name="_Toc988890"/>
      <w:r>
        <w:rPr>
          <w:rFonts w:ascii="宋体" w:eastAsia="宋体" w:hAnsi="宋体" w:cs="宋体"/>
          <w:b/>
          <w:bCs/>
          <w:sz w:val="32"/>
          <w:szCs w:val="32"/>
        </w:rPr>
        <w:lastRenderedPageBreak/>
        <w:t>第二节 公司简介和主要财务指标</w:t>
      </w:r>
      <w:bookmarkEnd w:id="2"/>
    </w:p>
    <w:p w:rsidR="0080594E" w:rsidRDefault="000C39A3">
      <w:pPr>
        <w:pStyle w:val="2"/>
        <w:spacing w:before="300" w:after="300" w:line="320" w:lineRule="exact"/>
        <w:rPr>
          <w:rFonts w:ascii="宋体" w:eastAsia="宋体" w:hAnsi="宋体" w:cs="宋体"/>
          <w:b/>
          <w:bCs/>
          <w:sz w:val="24"/>
          <w:szCs w:val="24"/>
        </w:rPr>
      </w:pPr>
      <w:bookmarkStart w:id="3" w:name="_Toc988891"/>
      <w:r>
        <w:rPr>
          <w:rFonts w:ascii="宋体" w:eastAsia="宋体" w:hAnsi="宋体" w:cs="宋体"/>
          <w:b/>
          <w:bCs/>
          <w:sz w:val="24"/>
          <w:szCs w:val="24"/>
        </w:rPr>
        <w:t>一、公司信息</w:t>
      </w:r>
      <w:bookmarkEnd w:id="3"/>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股票简称</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东亚机械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股票代码</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301028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公司的中文名称</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公司的中文简称</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东亚机械</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公司的外文名称（如有）</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Xiamen East Asia Machinery Industrial Co., Ltd.</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公司的法定代表人</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注册地址</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厦门市同安区西柯镇西柯街611号</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注册地址的邮政编码</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361100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公司注册地址历史变更情况</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办公地址</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厦门市同安区西柯镇西柯街611号</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办公地址的邮政编码</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361100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公司国际互联网网址</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www.jaguar-compressor.com</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电子信箱</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stock.eami@jaguar-compressor.com</w:t>
            </w:r>
          </w:p>
        </w:tc>
      </w:tr>
    </w:tbl>
    <w:p w:rsidR="0080594E" w:rsidRDefault="000C39A3">
      <w:pPr>
        <w:pStyle w:val="2"/>
        <w:spacing w:before="300" w:after="300" w:line="320" w:lineRule="exact"/>
        <w:rPr>
          <w:rFonts w:ascii="宋体" w:eastAsia="宋体" w:hAnsi="宋体" w:cs="宋体"/>
          <w:b/>
          <w:bCs/>
          <w:sz w:val="24"/>
          <w:szCs w:val="24"/>
        </w:rPr>
      </w:pPr>
      <w:bookmarkStart w:id="4" w:name="_Toc988892"/>
      <w:r>
        <w:rPr>
          <w:rFonts w:ascii="宋体" w:eastAsia="宋体" w:hAnsi="宋体" w:cs="宋体"/>
          <w:b/>
          <w:bCs/>
          <w:sz w:val="24"/>
          <w:szCs w:val="24"/>
        </w:rPr>
        <w:t>二、联系人和联系方式</w:t>
      </w:r>
      <w:bookmarkEnd w:id="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董事会秘书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证券事务代表</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姓名</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许志涌</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联系地址</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厦门市同安区西柯镇西柯街611号</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厦门市同安区西柯镇西柯街611号</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电话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0592-7395006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0592-7395006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传真</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0592-7113277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0592-7113277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电子信箱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stock.eami@jaguar-compressor.com</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stock.eami@jaguar-compressor.com</w:t>
            </w:r>
          </w:p>
        </w:tc>
      </w:tr>
    </w:tbl>
    <w:p w:rsidR="0080594E" w:rsidRDefault="000C39A3">
      <w:pPr>
        <w:pStyle w:val="2"/>
        <w:spacing w:before="300" w:after="300" w:line="320" w:lineRule="exact"/>
        <w:rPr>
          <w:rFonts w:ascii="宋体" w:eastAsia="宋体" w:hAnsi="宋体" w:cs="宋体"/>
          <w:b/>
          <w:bCs/>
          <w:sz w:val="24"/>
          <w:szCs w:val="24"/>
        </w:rPr>
      </w:pPr>
      <w:bookmarkStart w:id="5" w:name="_Toc988893"/>
      <w:r>
        <w:rPr>
          <w:rFonts w:ascii="宋体" w:eastAsia="宋体" w:hAnsi="宋体" w:cs="宋体"/>
          <w:b/>
          <w:bCs/>
          <w:sz w:val="24"/>
          <w:szCs w:val="24"/>
        </w:rPr>
        <w:t>三、信息披露及备置地点</w:t>
      </w:r>
      <w:bookmarkEnd w:id="5"/>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公司披露年度报告的证券交易所网站</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深圳证券交易所（www.szse.cn）</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公司披露年度报告的媒体名称及网址</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《证券时报》《中国证券报》《上海证券报》《证券日报》和巨潮资讯网（www.cninfo.com.cn）</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公司年度报告备置地点</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公司证券部</w:t>
            </w:r>
          </w:p>
        </w:tc>
      </w:tr>
    </w:tbl>
    <w:p w:rsidR="0080594E" w:rsidRDefault="000C39A3">
      <w:pPr>
        <w:pStyle w:val="2"/>
        <w:spacing w:before="300" w:after="300" w:line="320" w:lineRule="exact"/>
        <w:rPr>
          <w:rFonts w:ascii="宋体" w:eastAsia="宋体" w:hAnsi="宋体" w:cs="宋体"/>
          <w:b/>
          <w:bCs/>
          <w:sz w:val="24"/>
          <w:szCs w:val="24"/>
        </w:rPr>
      </w:pPr>
      <w:bookmarkStart w:id="6" w:name="_Toc988894"/>
      <w:r>
        <w:rPr>
          <w:rFonts w:ascii="宋体" w:eastAsia="宋体" w:hAnsi="宋体" w:cs="宋体"/>
          <w:b/>
          <w:bCs/>
          <w:sz w:val="24"/>
          <w:szCs w:val="24"/>
        </w:rPr>
        <w:t>四、其他有关资料</w:t>
      </w:r>
      <w:bookmarkEnd w:id="6"/>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公司聘请的会计师事务所</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会计师事务所名称</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容诚会计师事务所（特殊普通合伙）</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会计师事务所办公地址</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厦门市湖里区环岛干道万科云玺2号楼B区领域7-9层</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签字会计师姓名</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邱小娇、林辉钦、李江华</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公司聘请的报告期内履行持续督导职责的保荐机构</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保荐机构名称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保荐机构办公地址</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保荐代表人姓名</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持续督导期间</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中信证券股份有限公司</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北京市朝阳区亮马桥路 48 号中信证券大厦25层</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戴五七、吴小琛</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2021年7月20日—2024年12月31日</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公司聘请的报告期内履行持续督导职责的财务顾问</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7" w:name="_Toc988895"/>
      <w:r>
        <w:rPr>
          <w:rFonts w:ascii="宋体" w:eastAsia="宋体" w:hAnsi="宋体" w:cs="宋体"/>
          <w:b/>
          <w:bCs/>
          <w:sz w:val="24"/>
          <w:szCs w:val="24"/>
        </w:rPr>
        <w:t>五、主要会计数据和财务指标</w:t>
      </w:r>
      <w:bookmarkEnd w:id="7"/>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公司是否需追溯调整或重述以前年度会计数据</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本年比上年增减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2020年</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营业收入（元）</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794,880,440.45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893,234,176.16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-11.01%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777,636,560.46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归属于上市公司股东的净利润（元）</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-11.62%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144,897,239.69</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归属于上市公司股东的扣除非经常性损益的净利润（元）</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137,347,574.48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164,861,218.39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-16.69%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127,616,550.40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经营活动产生的现金流量净额（元）</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239,299,525.98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178,354,475.81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34.17%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204,817,619.15</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基本每股收益（元/股）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0.56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0.51</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稀释每股收益（元/股）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0.56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0.51</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加权平均净资产收益率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22.72%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-8.63%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30.37%</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本年末比上年末增减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2020年末</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资产总额（元）</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1,641,167,407.41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1,568,510,770.80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885,525,428.92</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归属于上市公司股东的净资产（元）</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1,182,637,944.53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536,231,422.53</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公司最近三个会计年度扣除非经常性损益前后净利润孰低者均为负值，且最近一年审计报告显示公司持续经营能力存在不确定性</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扣除非经常损益前后的净利润孰低者为负值</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pStyle w:val="2"/>
        <w:spacing w:before="300" w:after="300" w:line="320" w:lineRule="exact"/>
        <w:rPr>
          <w:rFonts w:ascii="宋体" w:eastAsia="宋体" w:hAnsi="宋体" w:cs="宋体"/>
          <w:b/>
          <w:bCs/>
          <w:sz w:val="24"/>
          <w:szCs w:val="24"/>
        </w:rPr>
      </w:pPr>
      <w:bookmarkStart w:id="8" w:name="_Toc988896"/>
      <w:r>
        <w:rPr>
          <w:rFonts w:ascii="宋体" w:eastAsia="宋体" w:hAnsi="宋体" w:cs="宋体"/>
          <w:b/>
          <w:bCs/>
          <w:sz w:val="24"/>
          <w:szCs w:val="24"/>
        </w:rPr>
        <w:t>六、分季度主要财务指标</w:t>
      </w:r>
      <w:bookmarkEnd w:id="8"/>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第一季度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第二季度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第三季度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第四季度</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220,777,963.49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206,166,214.09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207,555,652.03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160,380,610.84</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归属于上市公司股东的净利润</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46,425,083.27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52,668,808.53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42,282,071.38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18,406,656.92</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归属于上市公司股东的扣除非经常性损益的净利润</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40,738,218.14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45,063,112.36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36,059,024.38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15,487,219.60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-17,872,613.59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69,231,257.83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87,523,582.62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100,417,299.12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上述财务指标或其加总数是否与公司已披露季度报告、半年度报告相关财务指标存在重大差异</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pStyle w:val="2"/>
        <w:spacing w:before="300" w:after="300" w:line="320" w:lineRule="exact"/>
        <w:rPr>
          <w:rFonts w:ascii="宋体" w:eastAsia="宋体" w:hAnsi="宋体" w:cs="宋体"/>
          <w:b/>
          <w:bCs/>
          <w:sz w:val="24"/>
          <w:szCs w:val="24"/>
        </w:rPr>
      </w:pPr>
      <w:bookmarkStart w:id="9" w:name="_Toc988897"/>
      <w:r>
        <w:rPr>
          <w:rFonts w:ascii="宋体" w:eastAsia="宋体" w:hAnsi="宋体" w:cs="宋体"/>
          <w:b/>
          <w:bCs/>
          <w:sz w:val="24"/>
          <w:szCs w:val="24"/>
        </w:rPr>
        <w:t>七、境内外会计准则下会计数据差异</w:t>
      </w:r>
      <w:bookmarkEnd w:id="9"/>
    </w:p>
    <w:p w:rsidR="0080594E" w:rsidRDefault="000C39A3">
      <w:pPr>
        <w:pStyle w:val="3"/>
        <w:spacing w:line="280" w:lineRule="exact"/>
        <w:jc w:val="left"/>
        <w:rPr>
          <w:rFonts w:ascii="宋体" w:hAnsi="宋体" w:cs="宋体"/>
          <w:b/>
          <w:bCs/>
        </w:rPr>
      </w:pPr>
      <w:bookmarkStart w:id="10" w:name="_Toc988898"/>
      <w:r>
        <w:rPr>
          <w:rFonts w:ascii="宋体" w:hAnsi="宋体" w:cs="宋体"/>
          <w:b/>
          <w:bCs/>
        </w:rPr>
        <w:t>1、同时按照国际会计准则与按照中国会计准则披露的财务报告中净利润和净资产差异情况</w:t>
      </w:r>
      <w:bookmarkEnd w:id="1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公司报告期不存在按照国际会计准则与按照中国会计准则披露的财务报告中净利润和净资产差异情况。</w:t>
      </w:r>
    </w:p>
    <w:p w:rsidR="0080594E" w:rsidRDefault="000C39A3">
      <w:pPr>
        <w:pStyle w:val="3"/>
        <w:spacing w:line="280" w:lineRule="exact"/>
        <w:jc w:val="left"/>
        <w:rPr>
          <w:rFonts w:ascii="宋体" w:hAnsi="宋体" w:cs="宋体"/>
          <w:b/>
          <w:bCs/>
        </w:rPr>
      </w:pPr>
      <w:bookmarkStart w:id="11" w:name="_Toc988899"/>
      <w:r>
        <w:rPr>
          <w:rFonts w:ascii="宋体" w:hAnsi="宋体" w:cs="宋体"/>
          <w:b/>
          <w:bCs/>
        </w:rPr>
        <w:t>2、同时按照境外会计准则与按照中国会计准则披露的财务报告中净利润和净资产差异情况</w:t>
      </w:r>
      <w:bookmarkEnd w:id="11"/>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公司报告期不存在按照境外会计准则与按照中国会计准则披露的财务报告中净利润和净资产差异情况。</w:t>
      </w:r>
    </w:p>
    <w:p w:rsidR="0080594E" w:rsidRDefault="000C39A3">
      <w:pPr>
        <w:pStyle w:val="2"/>
        <w:spacing w:before="300" w:after="300" w:line="320" w:lineRule="exact"/>
        <w:rPr>
          <w:rFonts w:ascii="宋体" w:eastAsia="宋体" w:hAnsi="宋体" w:cs="宋体"/>
          <w:b/>
          <w:bCs/>
          <w:sz w:val="24"/>
          <w:szCs w:val="24"/>
        </w:rPr>
      </w:pPr>
      <w:bookmarkStart w:id="12" w:name="_Toc988900"/>
      <w:r>
        <w:rPr>
          <w:rFonts w:ascii="宋体" w:eastAsia="宋体" w:hAnsi="宋体" w:cs="宋体"/>
          <w:b/>
          <w:bCs/>
          <w:sz w:val="24"/>
          <w:szCs w:val="24"/>
        </w:rPr>
        <w:t>八、非经常性损益项目及金额</w:t>
      </w:r>
      <w:bookmarkEnd w:id="12"/>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2020年金额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说明</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非流动资产处置损益（包括已计提资产减值准备的冲销部分）</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33,436.14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-2,300.38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计入当期损益的政府补助（与公司正常经营业务密切相关，符合国家政策规定、按照一定标准定额或定量持续享受的政府补助除外）</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15,417,004.02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8,277,024.07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14,202,925.49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委托他人投资或管理资产的损益</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7,928,211.07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4,625,346.69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除上述各项之外的其他营业外收入和支出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-735,425.23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2,500,587.99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-940,040.67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其他符合非经常性损益定义的损益项目</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2,444,468.03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减：所得税影响额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3,959,125.70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2,810,888.89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3,049,709.87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22,435,045.62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15,928,370.38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17,280,689.29</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shd w:val="clear" w:color="auto" w:fill="D3D3D3"/>
              </w:rPr>
            </w:pPr>
            <w:r>
              <w:rPr>
                <w:rFonts w:ascii="宋体" w:eastAsia="宋体" w:hAnsi="宋体" w:cs="宋体"/>
                <w:sz w:val="18"/>
                <w:szCs w:val="18"/>
                <w:shd w:val="clear" w:color="auto" w:fill="D3D3D3"/>
              </w:rPr>
              <w:t>--</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其他符合非经常性损益定义的损益项目的具体情况：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公司不存在其他符合非经常性损益定义的损益项目的具体情况。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公司不存在将《公开发行证券的公司信息披露解释性公告第1号——非经常性损益》中列举的非经常性损益项目界定为经常性损益的项目的情形。</w:t>
      </w:r>
    </w:p>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13" w:name="_Toc988901"/>
      <w:r>
        <w:rPr>
          <w:rFonts w:ascii="宋体" w:eastAsia="宋体" w:hAnsi="宋体" w:cs="宋体"/>
          <w:b/>
          <w:bCs/>
          <w:sz w:val="32"/>
          <w:szCs w:val="32"/>
        </w:rPr>
        <w:lastRenderedPageBreak/>
        <w:t>第三节 管理层讨论与分析</w:t>
      </w:r>
      <w:bookmarkEnd w:id="13"/>
    </w:p>
    <w:p w:rsidR="0080594E" w:rsidRDefault="000C39A3">
      <w:pPr>
        <w:pStyle w:val="2"/>
        <w:spacing w:before="300" w:after="300" w:line="320" w:lineRule="exact"/>
        <w:rPr>
          <w:rFonts w:ascii="宋体" w:eastAsia="宋体" w:hAnsi="宋体" w:cs="宋体"/>
          <w:b/>
          <w:bCs/>
          <w:sz w:val="24"/>
          <w:szCs w:val="24"/>
        </w:rPr>
      </w:pPr>
      <w:bookmarkStart w:id="14" w:name="_Toc988902"/>
      <w:r>
        <w:rPr>
          <w:rFonts w:ascii="宋体" w:eastAsia="宋体" w:hAnsi="宋体" w:cs="宋体"/>
          <w:b/>
          <w:bCs/>
          <w:sz w:val="24"/>
          <w:szCs w:val="24"/>
        </w:rPr>
        <w:t>一、报告期内公司所处行业情况</w:t>
      </w:r>
      <w:bookmarkEnd w:id="14"/>
    </w:p>
    <w:p w:rsidR="000C39A3" w:rsidRDefault="000C39A3">
      <w:pPr>
        <w:pStyle w:val="a4"/>
        <w:spacing w:before="40" w:beforeAutospacing="0" w:after="40" w:afterAutospacing="0"/>
        <w:jc w:val="both"/>
        <w:divId w:val="2003770982"/>
        <w:rPr>
          <w:rFonts w:ascii="Times New Roman" w:hAnsi="Times New Roman" w:cs="Times New Roman"/>
          <w:sz w:val="18"/>
          <w:szCs w:val="18"/>
        </w:rPr>
      </w:pPr>
      <w:r>
        <w:rPr>
          <w:rStyle w:val="a5"/>
          <w:rFonts w:cs="Times New Roman" w:hint="eastAsia"/>
        </w:rPr>
        <w:t>（一）公司所处行业现况</w:t>
      </w:r>
    </w:p>
    <w:p w:rsidR="000C39A3" w:rsidRDefault="000C39A3">
      <w:pPr>
        <w:pStyle w:val="a4"/>
        <w:spacing w:before="0" w:beforeAutospacing="0" w:after="0" w:afterAutospacing="0" w:line="360" w:lineRule="auto"/>
        <w:ind w:firstLine="480"/>
        <w:jc w:val="both"/>
        <w:divId w:val="2003770982"/>
        <w:rPr>
          <w:rFonts w:ascii="Times New Roman" w:hAnsi="Times New Roman" w:cs="Times New Roman"/>
          <w:sz w:val="18"/>
          <w:szCs w:val="18"/>
        </w:rPr>
      </w:pPr>
      <w:r>
        <w:rPr>
          <w:rFonts w:cs="Times New Roman" w:hint="eastAsia"/>
        </w:rPr>
        <w:t>压缩空气作为工业生产中的三大动力之一，工业生产中的“水电气”即包括压缩空气，其中压缩空气是仅次于电力的第二大动力能源，我国80%以上的规模工厂配置有压缩空气动力。空气压缩机作为压缩空气的主要生产设备，广泛应用于装备制造、汽车、冶金、电力、电子、医疗、纺织，食品，半导体、新能源等工业领域。</w:t>
      </w:r>
    </w:p>
    <w:p w:rsidR="000C39A3" w:rsidRDefault="000C39A3">
      <w:pPr>
        <w:pStyle w:val="a4"/>
        <w:spacing w:before="0" w:beforeAutospacing="0" w:after="0" w:afterAutospacing="0" w:line="360" w:lineRule="auto"/>
        <w:ind w:firstLine="480"/>
        <w:jc w:val="both"/>
        <w:divId w:val="2003770982"/>
        <w:rPr>
          <w:rFonts w:ascii="Times New Roman" w:hAnsi="Times New Roman" w:cs="Times New Roman"/>
          <w:sz w:val="18"/>
          <w:szCs w:val="18"/>
        </w:rPr>
      </w:pPr>
      <w:r>
        <w:rPr>
          <w:rFonts w:cs="Times New Roman" w:hint="eastAsia"/>
        </w:rPr>
        <w:t>中国大陆在党的十九届五中全会提出《中共中央关于制定国民经济和社会发展第十四个五年规划和二〇三五年远景目标的建议》，国家将围绕十九届五中全会、中央经济工作会议、国家能源工作会议等重大决策和工作部署，保障能源安全供应、推动清洁能源发展和化石能源清洁高效利用，确定油气储运、先进核电装备等15个领域能源装备发展方向，为压缩机行业产品提供了广阔的市场。在国民经济各领域的技术提升、高质量发展引导下，未来压缩机行业会有更广阔的发展空间。“十四五”时期将坚持创新在我国现代化建设全局中的核心地位，围绕创新驱动和保护国家产业链安全，将促进基础技术和共性技术研究的深入，推动装备制造业向更多尚未实现自主化的高端核心技术产品取得突破。各领域新的市场需求将催生创新发展动能，压缩机行业强化科技创新体系和能力建设、深化转型升级，是满足国民经济各领域需要和行业持续健康发展的必由之路。</w:t>
      </w:r>
    </w:p>
    <w:p w:rsidR="000C39A3" w:rsidRDefault="000C39A3">
      <w:pPr>
        <w:pStyle w:val="a4"/>
        <w:spacing w:before="0" w:beforeAutospacing="0" w:after="0" w:afterAutospacing="0" w:line="360" w:lineRule="auto"/>
        <w:ind w:firstLine="480"/>
        <w:jc w:val="both"/>
        <w:divId w:val="2003770982"/>
        <w:rPr>
          <w:rFonts w:ascii="Times New Roman" w:hAnsi="Times New Roman" w:cs="Times New Roman"/>
          <w:sz w:val="18"/>
          <w:szCs w:val="18"/>
        </w:rPr>
      </w:pPr>
      <w:r>
        <w:rPr>
          <w:rFonts w:cs="Times New Roman" w:hint="eastAsia"/>
        </w:rPr>
        <w:t>报告期内，公司所属行业发展阶段呈现如下显著特征：</w:t>
      </w:r>
    </w:p>
    <w:p w:rsidR="000C39A3" w:rsidRDefault="000C39A3" w:rsidP="003A05C1">
      <w:pPr>
        <w:pStyle w:val="a4"/>
        <w:spacing w:before="0" w:beforeAutospacing="0" w:after="0" w:afterAutospacing="0" w:line="360" w:lineRule="auto"/>
        <w:ind w:firstLine="479"/>
        <w:jc w:val="both"/>
        <w:divId w:val="2003770982"/>
        <w:rPr>
          <w:rFonts w:ascii="Calibri" w:hAnsi="Calibri" w:cs="Calibri"/>
          <w:sz w:val="21"/>
          <w:szCs w:val="21"/>
        </w:rPr>
      </w:pPr>
      <w:r>
        <w:rPr>
          <w:rStyle w:val="a5"/>
          <w:rFonts w:cs="Calibri" w:hint="eastAsia"/>
        </w:rPr>
        <w:t>节能替换趋势明显，压缩机市场持续增长。</w:t>
      </w:r>
      <w:r>
        <w:rPr>
          <w:rFonts w:cs="Calibri" w:hint="eastAsia"/>
        </w:rPr>
        <w:t>空气压缩机作为战略性新兴产业，在国家稳经济、碳达峰、碳中和的大背景下，更加节能的空气压缩机成为了市场主流。2021年10月，《2030年前碳达峰行动方案》指出“推进重点用能设备节能增效。以电机、风机、泵、</w:t>
      </w:r>
      <w:r>
        <w:rPr>
          <w:rStyle w:val="a5"/>
          <w:rFonts w:cs="Calibri" w:hint="eastAsia"/>
        </w:rPr>
        <w:t>压缩机</w:t>
      </w:r>
      <w:r>
        <w:rPr>
          <w:rFonts w:cs="Calibri" w:hint="eastAsia"/>
        </w:rPr>
        <w:t>、变压器、换热器、工业锅炉等设备为重点，全面提升能效标准。” 2021年11月，《电机能效提升计划（2021-2023年）》“针对</w:t>
      </w:r>
      <w:r>
        <w:rPr>
          <w:rStyle w:val="a5"/>
          <w:rFonts w:cs="Calibri" w:hint="eastAsia"/>
        </w:rPr>
        <w:t>压缩机</w:t>
      </w:r>
      <w:r>
        <w:rPr>
          <w:rFonts w:cs="Calibri" w:hint="eastAsia"/>
        </w:rPr>
        <w:t>等通用设备，鼓励采用2 级能效及以上的电动机，推广2 级能效及以上的变频调速永磁电机，鼓励采用低速直驱和高速直驱式永磁电机。大力发展永磁外转子电动滚筒、一体式螺杆压缩机等。”</w:t>
      </w:r>
      <w:r>
        <w:rPr>
          <w:rFonts w:ascii="Times New Roman" w:hAnsi="Times New Roman" w:cs="Times New Roman"/>
        </w:rPr>
        <w:t>2022</w:t>
      </w:r>
      <w:r>
        <w:rPr>
          <w:rFonts w:cs="Calibri" w:hint="eastAsia"/>
        </w:rPr>
        <w:t>年</w:t>
      </w:r>
      <w:r>
        <w:rPr>
          <w:rFonts w:ascii="Times New Roman" w:hAnsi="Times New Roman" w:cs="Times New Roman"/>
        </w:rPr>
        <w:t>6</w:t>
      </w:r>
      <w:r>
        <w:rPr>
          <w:rFonts w:cs="Calibri" w:hint="eastAsia"/>
        </w:rPr>
        <w:t>月，工信部等六部门出台的《工业能效提升行动计划》中明确要求“开展重点用能设备系统匹配性节能改造和运行控制优化，提高风机、泵、</w:t>
      </w:r>
      <w:r>
        <w:rPr>
          <w:rStyle w:val="a5"/>
          <w:rFonts w:cs="Calibri" w:hint="eastAsia"/>
        </w:rPr>
        <w:t>压缩机</w:t>
      </w:r>
      <w:r>
        <w:rPr>
          <w:rFonts w:cs="Calibri" w:hint="eastAsia"/>
        </w:rPr>
        <w:t>等电机系统效率和质量。禁止企业生产、销售不符合能效强制性国家标准要求的用能设备及其系统。”出于政府的强制性规</w:t>
      </w:r>
      <w:r>
        <w:rPr>
          <w:rFonts w:cs="Calibri" w:hint="eastAsia"/>
        </w:rPr>
        <w:lastRenderedPageBreak/>
        <w:t>定，企业必须提高空压机能源利用效率，对空气压缩机设备的能效要求日益提高，高效节能的压缩机将成为行业发展的重要趋势之一。</w:t>
      </w:r>
    </w:p>
    <w:p w:rsidR="000C39A3" w:rsidRDefault="000C39A3" w:rsidP="003A05C1">
      <w:pPr>
        <w:pStyle w:val="a4"/>
        <w:spacing w:before="0" w:beforeAutospacing="0" w:after="0" w:afterAutospacing="0" w:line="360" w:lineRule="auto"/>
        <w:ind w:firstLine="479"/>
        <w:jc w:val="both"/>
        <w:divId w:val="2003770982"/>
        <w:rPr>
          <w:rFonts w:ascii="Calibri" w:hAnsi="Calibri" w:cs="Calibri"/>
          <w:sz w:val="21"/>
          <w:szCs w:val="21"/>
        </w:rPr>
      </w:pPr>
      <w:r>
        <w:rPr>
          <w:rStyle w:val="a5"/>
          <w:rFonts w:cs="Calibri" w:hint="eastAsia"/>
        </w:rPr>
        <w:t>国产替代效应延续，专精特新企业深耕硬科技领域。</w:t>
      </w:r>
      <w:r>
        <w:rPr>
          <w:rFonts w:cs="Calibri" w:hint="eastAsia"/>
        </w:rPr>
        <w:t>国际企业因为进入市场时间较长，过去长期在部分行业实现垄断，在我国空压机高端市场处于优势地位。但是近几年国内优质空压机企业持续投入研发，已具备螺杆主机设计制造等核心能力。我司作为“专精特新”小巨人企业和国内领先的压缩空气系统提供商，深耕空压机制造生产研发，通过提高创新技术研发能力和优化生产制造工艺水平，同时不断探索新材料应用、新设计方案，不断进行创新，解决压缩机行业中高精尖、“卡脖子”等国内空白的领域。公司旗下品牌“捷豹JAGUAR”空压机凭借出色的能效水平、良好的售后服务、不断迭代的技术创新，实现了对外资产品的部分替代，并持续冲击高端空压机市场，未来将会不断完善全谱系产品，做最专业的压缩空气系统提供商，实现更全面的国产替代。</w:t>
      </w:r>
    </w:p>
    <w:p w:rsidR="000C39A3" w:rsidRDefault="000C39A3" w:rsidP="003A05C1">
      <w:pPr>
        <w:pStyle w:val="a4"/>
        <w:spacing w:before="0" w:beforeAutospacing="0" w:after="0" w:afterAutospacing="0" w:line="360" w:lineRule="auto"/>
        <w:ind w:firstLine="479"/>
        <w:jc w:val="both"/>
        <w:divId w:val="2003770982"/>
        <w:rPr>
          <w:rFonts w:ascii="Calibri" w:hAnsi="Calibri" w:cs="Calibri"/>
          <w:sz w:val="21"/>
          <w:szCs w:val="21"/>
        </w:rPr>
      </w:pPr>
      <w:r>
        <w:rPr>
          <w:rStyle w:val="a5"/>
          <w:rFonts w:cs="Calibri" w:hint="eastAsia"/>
        </w:rPr>
        <w:t>市场对符合绿色制造、绿色供应链的企业和绿色产品的需求日益增加。</w:t>
      </w:r>
      <w:r>
        <w:rPr>
          <w:rFonts w:cs="Calibri" w:hint="eastAsia"/>
        </w:rPr>
        <w:t>2021年11月工信部印发《“十四五”工业绿色发展规划》要求“推动工业窑炉、锅炉、电机、泵、风机、</w:t>
      </w:r>
      <w:r>
        <w:rPr>
          <w:rStyle w:val="a5"/>
          <w:rFonts w:cs="Calibri" w:hint="eastAsia"/>
        </w:rPr>
        <w:t>压缩机</w:t>
      </w:r>
      <w:r>
        <w:rPr>
          <w:rFonts w:cs="Calibri" w:hint="eastAsia"/>
        </w:rPr>
        <w:t>等重点用能设备系统的节能改造,”政府对行业支持政策也显著加码。公司2021年被工信部认定为国家级“绿色工厂”、“绿色供应链管理企业”，2022年相继又被工信部认定为国家级“绿色设计产品”企业，公司是唯一一家同时获得三个国家级“绿色制造” 的压缩机企业。绿色制造需求将会带来空压机及相关市场的持续增长，行业整体发展前景广阔，公司产品符合绿色发展理念，也将为此受益。</w:t>
      </w:r>
    </w:p>
    <w:p w:rsidR="000C39A3" w:rsidRDefault="000C39A3">
      <w:pPr>
        <w:pStyle w:val="a4"/>
        <w:spacing w:before="0" w:beforeAutospacing="0" w:after="0" w:afterAutospacing="0"/>
        <w:ind w:firstLine="479"/>
        <w:jc w:val="both"/>
        <w:divId w:val="2003770982"/>
        <w:rPr>
          <w:rFonts w:ascii="Calibri" w:hAnsi="Calibri" w:cs="Calibri"/>
          <w:sz w:val="21"/>
          <w:szCs w:val="21"/>
        </w:rPr>
      </w:pPr>
      <w:r>
        <w:rPr>
          <w:rStyle w:val="a5"/>
          <w:rFonts w:cs="Calibri" w:hint="eastAsia"/>
        </w:rPr>
        <w:t>（二）行业政策信息</w:t>
      </w:r>
    </w:p>
    <w:p w:rsidR="000C39A3" w:rsidRDefault="000C39A3">
      <w:pPr>
        <w:pStyle w:val="a4"/>
        <w:spacing w:before="0" w:beforeAutospacing="0" w:after="0" w:afterAutospacing="0" w:line="360" w:lineRule="auto"/>
        <w:ind w:firstLine="480"/>
        <w:jc w:val="both"/>
        <w:divId w:val="2003770982"/>
        <w:rPr>
          <w:rFonts w:ascii="Times New Roman" w:hAnsi="Times New Roman" w:cs="Times New Roman"/>
          <w:sz w:val="18"/>
          <w:szCs w:val="18"/>
        </w:rPr>
      </w:pPr>
      <w:r>
        <w:rPr>
          <w:rFonts w:cs="Times New Roman" w:hint="eastAsia"/>
        </w:rPr>
        <w:t>国家出台了一系列行业相关政策，为行业发展提供了有利的政策环境。2016年以来，涉及行业的主要政策内容如下表所示：</w:t>
      </w:r>
    </w:p>
    <w:tbl>
      <w:tblPr>
        <w:tblW w:w="0" w:type="dxa"/>
        <w:tblCellMar>
          <w:left w:w="0" w:type="dxa"/>
          <w:right w:w="0" w:type="dxa"/>
        </w:tblCellMar>
        <w:tblLook w:val="04A0" w:firstRow="1" w:lastRow="0" w:firstColumn="1" w:lastColumn="0" w:noHBand="0" w:noVBand="1"/>
      </w:tblPr>
      <w:tblGrid>
        <w:gridCol w:w="1511"/>
        <w:gridCol w:w="1781"/>
        <w:gridCol w:w="1970"/>
        <w:gridCol w:w="4395"/>
      </w:tblGrid>
      <w:tr w:rsidR="000C39A3">
        <w:trPr>
          <w:divId w:val="2003770982"/>
        </w:trPr>
        <w:tc>
          <w:tcPr>
            <w:tcW w:w="1560" w:type="dxa"/>
            <w:tcBorders>
              <w:top w:val="single" w:sz="8" w:space="0" w:color="auto"/>
              <w:left w:val="single" w:sz="8" w:space="0" w:color="auto"/>
              <w:bottom w:val="single" w:sz="8" w:space="0" w:color="auto"/>
              <w:right w:val="single" w:sz="8" w:space="0" w:color="auto"/>
            </w:tcBorders>
            <w:shd w:val="clear" w:color="auto" w:fill="E7E6E6"/>
            <w:tcMar>
              <w:top w:w="10" w:type="dxa"/>
              <w:left w:w="10" w:type="dxa"/>
              <w:bottom w:w="10" w:type="dxa"/>
              <w:right w:w="10" w:type="dxa"/>
            </w:tcMa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Style w:val="a5"/>
                <w:rFonts w:cs="Times New Roman" w:hint="eastAsia"/>
                <w:sz w:val="21"/>
                <w:szCs w:val="21"/>
              </w:rPr>
              <w:t>发布时间</w:t>
            </w:r>
          </w:p>
        </w:tc>
        <w:tc>
          <w:tcPr>
            <w:tcW w:w="1842" w:type="dxa"/>
            <w:tcBorders>
              <w:top w:val="single" w:sz="8" w:space="0" w:color="auto"/>
              <w:left w:val="nil"/>
              <w:bottom w:val="single" w:sz="8" w:space="0" w:color="auto"/>
              <w:right w:val="single" w:sz="8" w:space="0" w:color="auto"/>
            </w:tcBorders>
            <w:shd w:val="clear" w:color="auto" w:fill="E7E6E6"/>
            <w:tcMar>
              <w:top w:w="10" w:type="dxa"/>
              <w:left w:w="10" w:type="dxa"/>
              <w:bottom w:w="10" w:type="dxa"/>
              <w:right w:w="10" w:type="dxa"/>
            </w:tcMa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Style w:val="a5"/>
                <w:rFonts w:cs="Times New Roman" w:hint="eastAsia"/>
                <w:sz w:val="21"/>
                <w:szCs w:val="21"/>
              </w:rPr>
              <w:t>发布部门</w:t>
            </w:r>
          </w:p>
        </w:tc>
        <w:tc>
          <w:tcPr>
            <w:tcW w:w="2011" w:type="dxa"/>
            <w:tcBorders>
              <w:top w:val="single" w:sz="8" w:space="0" w:color="auto"/>
              <w:left w:val="nil"/>
              <w:bottom w:val="single" w:sz="8" w:space="0" w:color="auto"/>
              <w:right w:val="single" w:sz="8" w:space="0" w:color="auto"/>
            </w:tcBorders>
            <w:shd w:val="clear" w:color="auto" w:fill="E7E6E6"/>
            <w:tcMar>
              <w:top w:w="10" w:type="dxa"/>
              <w:left w:w="10" w:type="dxa"/>
              <w:bottom w:w="10" w:type="dxa"/>
              <w:right w:w="10" w:type="dxa"/>
            </w:tcMa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Style w:val="a5"/>
                <w:rFonts w:cs="Times New Roman" w:hint="eastAsia"/>
                <w:sz w:val="21"/>
                <w:szCs w:val="21"/>
              </w:rPr>
              <w:t>政策名称</w:t>
            </w:r>
          </w:p>
        </w:tc>
        <w:tc>
          <w:tcPr>
            <w:tcW w:w="4561" w:type="dxa"/>
            <w:tcBorders>
              <w:top w:val="single" w:sz="8" w:space="0" w:color="auto"/>
              <w:left w:val="nil"/>
              <w:bottom w:val="single" w:sz="8" w:space="0" w:color="auto"/>
              <w:right w:val="single" w:sz="8" w:space="0" w:color="auto"/>
            </w:tcBorders>
            <w:shd w:val="clear" w:color="auto" w:fill="E7E6E6"/>
            <w:tcMar>
              <w:top w:w="10" w:type="dxa"/>
              <w:left w:w="10" w:type="dxa"/>
              <w:bottom w:w="10" w:type="dxa"/>
              <w:right w:w="10" w:type="dxa"/>
            </w:tcMa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Style w:val="a5"/>
                <w:rFonts w:cs="Times New Roman" w:hint="eastAsia"/>
                <w:sz w:val="21"/>
                <w:szCs w:val="21"/>
              </w:rPr>
              <w:t>政策内容</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2016</w:t>
            </w:r>
            <w:r>
              <w:rPr>
                <w:rFonts w:cs="Times New Roman" w:hint="eastAsia"/>
                <w:sz w:val="21"/>
                <w:szCs w:val="21"/>
              </w:rPr>
              <w:t>年</w:t>
            </w:r>
            <w:r>
              <w:rPr>
                <w:rFonts w:ascii="Times New Roman" w:hAnsi="Times New Roman" w:cs="Times New Roman"/>
                <w:sz w:val="21"/>
                <w:szCs w:val="21"/>
              </w:rPr>
              <w:t>5</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中共中央、国务院</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《国家创新驱动发展战略纲要》</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明确提出将</w:t>
            </w:r>
            <w:r>
              <w:rPr>
                <w:rFonts w:ascii="Times New Roman" w:hAnsi="Times New Roman" w:cs="Times New Roman"/>
                <w:sz w:val="21"/>
                <w:szCs w:val="21"/>
              </w:rPr>
              <w:t>“</w:t>
            </w:r>
            <w:r>
              <w:rPr>
                <w:rFonts w:cs="Times New Roman" w:hint="eastAsia"/>
                <w:sz w:val="21"/>
                <w:szCs w:val="21"/>
              </w:rPr>
              <w:t>发展</w:t>
            </w:r>
            <w:r>
              <w:rPr>
                <w:rStyle w:val="a5"/>
                <w:rFonts w:cs="Times New Roman" w:hint="eastAsia"/>
                <w:sz w:val="21"/>
                <w:szCs w:val="21"/>
              </w:rPr>
              <w:t>智能绿色制造</w:t>
            </w:r>
            <w:r>
              <w:rPr>
                <w:rFonts w:cs="Times New Roman" w:hint="eastAsia"/>
                <w:sz w:val="21"/>
                <w:szCs w:val="21"/>
              </w:rPr>
              <w:t>技术，推动制造业向价值链高端攀升</w:t>
            </w:r>
            <w:r>
              <w:rPr>
                <w:rFonts w:ascii="Times New Roman" w:hAnsi="Times New Roman" w:cs="Times New Roman"/>
                <w:sz w:val="21"/>
                <w:szCs w:val="21"/>
              </w:rPr>
              <w:t>”</w:t>
            </w:r>
            <w:r>
              <w:rPr>
                <w:rFonts w:cs="Times New Roman" w:hint="eastAsia"/>
                <w:sz w:val="21"/>
                <w:szCs w:val="21"/>
              </w:rPr>
              <w:t>作为战略任务</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2016</w:t>
            </w:r>
            <w:r>
              <w:rPr>
                <w:rFonts w:cs="Times New Roman" w:hint="eastAsia"/>
                <w:sz w:val="21"/>
                <w:szCs w:val="21"/>
              </w:rPr>
              <w:t>年</w:t>
            </w:r>
            <w:r>
              <w:rPr>
                <w:rFonts w:ascii="Times New Roman" w:hAnsi="Times New Roman" w:cs="Times New Roman"/>
                <w:sz w:val="21"/>
                <w:szCs w:val="21"/>
              </w:rPr>
              <w:t>6</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国家发改委、工信部、国家能源局</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《中国制造</w:t>
            </w:r>
            <w:r>
              <w:rPr>
                <w:rFonts w:ascii="Times New Roman" w:hAnsi="Times New Roman" w:cs="Times New Roman"/>
                <w:sz w:val="21"/>
                <w:szCs w:val="21"/>
              </w:rPr>
              <w:t>2025-</w:t>
            </w:r>
            <w:r>
              <w:rPr>
                <w:rFonts w:cs="Times New Roman" w:hint="eastAsia"/>
                <w:sz w:val="21"/>
                <w:szCs w:val="21"/>
              </w:rPr>
              <w:t>能源装备实施方案》</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提出要</w:t>
            </w:r>
            <w:r>
              <w:rPr>
                <w:rFonts w:ascii="Times New Roman" w:hAnsi="Times New Roman" w:cs="Times New Roman"/>
                <w:sz w:val="21"/>
                <w:szCs w:val="21"/>
              </w:rPr>
              <w:t>“</w:t>
            </w:r>
            <w:r>
              <w:rPr>
                <w:rFonts w:cs="Times New Roman" w:hint="eastAsia"/>
                <w:sz w:val="21"/>
                <w:szCs w:val="21"/>
              </w:rPr>
              <w:t>组织推动关键能源装备的技术攻关、试验示范和推广应用。进一步培育和提高能源装备自主创新能力，推动能源革命和能源装备制造业优化升级。</w:t>
            </w:r>
            <w:r>
              <w:rPr>
                <w:rFonts w:ascii="Times New Roman" w:hAnsi="Times New Roman" w:cs="Times New Roman"/>
                <w:sz w:val="21"/>
                <w:szCs w:val="21"/>
              </w:rPr>
              <w:t>”</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2017</w:t>
            </w:r>
            <w:r>
              <w:rPr>
                <w:rFonts w:cs="Times New Roman" w:hint="eastAsia"/>
                <w:sz w:val="21"/>
                <w:szCs w:val="21"/>
              </w:rPr>
              <w:t>年</w:t>
            </w:r>
            <w:r>
              <w:rPr>
                <w:rFonts w:ascii="Times New Roman" w:hAnsi="Times New Roman" w:cs="Times New Roman"/>
                <w:sz w:val="21"/>
                <w:szCs w:val="21"/>
              </w:rPr>
              <w:t>4</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科技部</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w:t>
            </w:r>
            <w:r>
              <w:rPr>
                <w:rFonts w:ascii="Times New Roman" w:hAnsi="Times New Roman" w:cs="Times New Roman"/>
                <w:sz w:val="21"/>
                <w:szCs w:val="21"/>
              </w:rPr>
              <w:t>“</w:t>
            </w:r>
            <w:r>
              <w:rPr>
                <w:rFonts w:cs="Times New Roman" w:hint="eastAsia"/>
                <w:sz w:val="21"/>
                <w:szCs w:val="21"/>
              </w:rPr>
              <w:t>十三五</w:t>
            </w:r>
            <w:r>
              <w:rPr>
                <w:rFonts w:ascii="Times New Roman" w:hAnsi="Times New Roman" w:cs="Times New Roman"/>
                <w:sz w:val="21"/>
                <w:szCs w:val="21"/>
              </w:rPr>
              <w:t>”</w:t>
            </w:r>
            <w:r>
              <w:rPr>
                <w:rFonts w:cs="Times New Roman" w:hint="eastAsia"/>
                <w:sz w:val="21"/>
                <w:szCs w:val="21"/>
              </w:rPr>
              <w:t>先进制造技术领域科技创新专项规划》</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将</w:t>
            </w:r>
            <w:r>
              <w:rPr>
                <w:rFonts w:ascii="Times New Roman" w:hAnsi="Times New Roman" w:cs="Times New Roman"/>
                <w:sz w:val="21"/>
                <w:szCs w:val="21"/>
              </w:rPr>
              <w:t>“</w:t>
            </w:r>
            <w:r>
              <w:rPr>
                <w:rFonts w:cs="Times New Roman" w:hint="eastAsia"/>
                <w:sz w:val="21"/>
                <w:szCs w:val="21"/>
              </w:rPr>
              <w:t>重点研究基础工艺绿色化技术、流程工业绿色工艺技术、量大面广的典型通用设备产品节能、减排、降耗技术</w:t>
            </w:r>
            <w:r>
              <w:rPr>
                <w:rFonts w:ascii="Times New Roman" w:hAnsi="Times New Roman" w:cs="Times New Roman"/>
                <w:sz w:val="21"/>
                <w:szCs w:val="21"/>
              </w:rPr>
              <w:t>”</w:t>
            </w:r>
            <w:r>
              <w:rPr>
                <w:rFonts w:cs="Times New Roman" w:hint="eastAsia"/>
                <w:sz w:val="21"/>
                <w:szCs w:val="21"/>
              </w:rPr>
              <w:t>作为重点任务</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2019</w:t>
            </w:r>
            <w:r>
              <w:rPr>
                <w:rFonts w:cs="Times New Roman" w:hint="eastAsia"/>
                <w:sz w:val="21"/>
                <w:szCs w:val="21"/>
              </w:rPr>
              <w:t>年</w:t>
            </w:r>
            <w:r>
              <w:rPr>
                <w:rFonts w:ascii="Times New Roman" w:hAnsi="Times New Roman" w:cs="Times New Roman"/>
                <w:sz w:val="21"/>
                <w:szCs w:val="21"/>
              </w:rPr>
              <w:t>12</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工信部</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《国家工业节能技术装备推荐目录（</w:t>
            </w:r>
            <w:r>
              <w:rPr>
                <w:rFonts w:ascii="Times New Roman" w:hAnsi="Times New Roman" w:cs="Times New Roman"/>
                <w:sz w:val="21"/>
                <w:szCs w:val="21"/>
              </w:rPr>
              <w:t>2019</w:t>
            </w:r>
            <w:r>
              <w:rPr>
                <w:rFonts w:cs="Times New Roman" w:hint="eastAsia"/>
                <w:sz w:val="21"/>
                <w:szCs w:val="21"/>
              </w:rPr>
              <w:t>）》</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空气压缩机隶属</w:t>
            </w:r>
            <w:r>
              <w:rPr>
                <w:rFonts w:ascii="Times New Roman" w:hAnsi="Times New Roman" w:cs="Times New Roman"/>
                <w:sz w:val="21"/>
                <w:szCs w:val="21"/>
              </w:rPr>
              <w:t xml:space="preserve">“7.1.1 </w:t>
            </w:r>
            <w:r>
              <w:rPr>
                <w:rFonts w:cs="Times New Roman" w:hint="eastAsia"/>
                <w:sz w:val="21"/>
                <w:szCs w:val="21"/>
              </w:rPr>
              <w:t>高效节能通用设备制造</w:t>
            </w:r>
            <w:r>
              <w:rPr>
                <w:rFonts w:ascii="Times New Roman" w:hAnsi="Times New Roman" w:cs="Times New Roman"/>
                <w:sz w:val="21"/>
                <w:szCs w:val="21"/>
              </w:rPr>
              <w:t>”</w:t>
            </w:r>
            <w:r>
              <w:rPr>
                <w:rFonts w:cs="Times New Roman" w:hint="eastAsia"/>
                <w:sz w:val="21"/>
                <w:szCs w:val="21"/>
              </w:rPr>
              <w:t>等</w:t>
            </w:r>
            <w:r>
              <w:rPr>
                <w:rStyle w:val="a5"/>
                <w:rFonts w:cs="Times New Roman" w:hint="eastAsia"/>
                <w:sz w:val="21"/>
                <w:szCs w:val="21"/>
              </w:rPr>
              <w:t>战略性新兴产业</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lastRenderedPageBreak/>
              <w:t>2020</w:t>
            </w:r>
            <w:r>
              <w:rPr>
                <w:rFonts w:cs="Times New Roman" w:hint="eastAsia"/>
                <w:sz w:val="21"/>
                <w:szCs w:val="21"/>
              </w:rPr>
              <w:t>年</w:t>
            </w:r>
            <w:r>
              <w:rPr>
                <w:rFonts w:ascii="Times New Roman" w:hAnsi="Times New Roman" w:cs="Times New Roman"/>
                <w:sz w:val="21"/>
                <w:szCs w:val="21"/>
              </w:rPr>
              <w:t>7</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工信部</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《关于健全支持中小企业发展制度的若干意见》</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健全</w:t>
            </w:r>
            <w:r>
              <w:rPr>
                <w:rStyle w:val="a5"/>
                <w:rFonts w:ascii="Times New Roman" w:hAnsi="Times New Roman" w:cs="Times New Roman"/>
                <w:sz w:val="21"/>
                <w:szCs w:val="21"/>
              </w:rPr>
              <w:t>“</w:t>
            </w:r>
            <w:r>
              <w:rPr>
                <w:rStyle w:val="a5"/>
                <w:rFonts w:cs="Times New Roman" w:hint="eastAsia"/>
                <w:sz w:val="21"/>
                <w:szCs w:val="21"/>
              </w:rPr>
              <w:t>专精特新</w:t>
            </w:r>
            <w:r>
              <w:rPr>
                <w:rStyle w:val="a5"/>
                <w:rFonts w:ascii="Times New Roman" w:hAnsi="Times New Roman" w:cs="Times New Roman"/>
                <w:sz w:val="21"/>
                <w:szCs w:val="21"/>
              </w:rPr>
              <w:t>”</w:t>
            </w:r>
            <w:r>
              <w:rPr>
                <w:rFonts w:cs="Times New Roman" w:hint="eastAsia"/>
                <w:sz w:val="21"/>
                <w:szCs w:val="21"/>
              </w:rPr>
              <w:t>中小企业、专精特新</w:t>
            </w:r>
            <w:r>
              <w:rPr>
                <w:rFonts w:ascii="Times New Roman" w:hAnsi="Times New Roman" w:cs="Times New Roman"/>
                <w:sz w:val="21"/>
                <w:szCs w:val="21"/>
              </w:rPr>
              <w:t>“</w:t>
            </w:r>
            <w:r>
              <w:rPr>
                <w:rFonts w:cs="Times New Roman" w:hint="eastAsia"/>
                <w:sz w:val="21"/>
                <w:szCs w:val="21"/>
              </w:rPr>
              <w:t>小巨人</w:t>
            </w:r>
            <w:r>
              <w:rPr>
                <w:rFonts w:ascii="Times New Roman" w:hAnsi="Times New Roman" w:cs="Times New Roman"/>
                <w:sz w:val="21"/>
                <w:szCs w:val="21"/>
              </w:rPr>
              <w:t>”</w:t>
            </w:r>
            <w:r>
              <w:rPr>
                <w:rFonts w:cs="Times New Roman" w:hint="eastAsia"/>
                <w:sz w:val="21"/>
                <w:szCs w:val="21"/>
              </w:rPr>
              <w:t>企业和制造业单项冠军企业梯度培育体系、标准体系和评价机制，引导中小企业走</w:t>
            </w:r>
            <w:r>
              <w:rPr>
                <w:rFonts w:ascii="Times New Roman" w:hAnsi="Times New Roman" w:cs="Times New Roman"/>
                <w:sz w:val="21"/>
                <w:szCs w:val="21"/>
              </w:rPr>
              <w:t>“</w:t>
            </w:r>
            <w:r>
              <w:rPr>
                <w:rFonts w:cs="Times New Roman" w:hint="eastAsia"/>
                <w:sz w:val="21"/>
                <w:szCs w:val="21"/>
              </w:rPr>
              <w:t>专精特新</w:t>
            </w:r>
            <w:r>
              <w:rPr>
                <w:rFonts w:ascii="Times New Roman" w:hAnsi="Times New Roman" w:cs="Times New Roman"/>
                <w:sz w:val="21"/>
                <w:szCs w:val="21"/>
              </w:rPr>
              <w:t>”</w:t>
            </w:r>
            <w:r>
              <w:rPr>
                <w:rFonts w:cs="Times New Roman" w:hint="eastAsia"/>
                <w:sz w:val="21"/>
                <w:szCs w:val="21"/>
              </w:rPr>
              <w:t>之路</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2021</w:t>
            </w:r>
            <w:r>
              <w:rPr>
                <w:rFonts w:cs="Times New Roman" w:hint="eastAsia"/>
                <w:sz w:val="21"/>
                <w:szCs w:val="21"/>
              </w:rPr>
              <w:t>年</w:t>
            </w:r>
            <w:r>
              <w:rPr>
                <w:rFonts w:ascii="Times New Roman" w:hAnsi="Times New Roman" w:cs="Times New Roman"/>
                <w:sz w:val="21"/>
                <w:szCs w:val="21"/>
              </w:rPr>
              <w:t>3</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国家发改委</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《中华人民共和国国民经济和社会发展第十四个五年规划和</w:t>
            </w:r>
            <w:r>
              <w:rPr>
                <w:rFonts w:ascii="Times New Roman" w:hAnsi="Times New Roman" w:cs="Times New Roman"/>
                <w:sz w:val="21"/>
                <w:szCs w:val="21"/>
              </w:rPr>
              <w:t>2035</w:t>
            </w:r>
            <w:r>
              <w:rPr>
                <w:rFonts w:cs="Times New Roman" w:hint="eastAsia"/>
                <w:sz w:val="21"/>
                <w:szCs w:val="21"/>
              </w:rPr>
              <w:t>年远景目标纲要》</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推动中小企业提升专业化优势，培育</w:t>
            </w:r>
            <w:r>
              <w:rPr>
                <w:rStyle w:val="a5"/>
                <w:rFonts w:cs="Times New Roman" w:hint="eastAsia"/>
                <w:sz w:val="21"/>
                <w:szCs w:val="21"/>
              </w:rPr>
              <w:t>专精特新</w:t>
            </w:r>
            <w:r>
              <w:rPr>
                <w:rFonts w:ascii="Times New Roman" w:hAnsi="Times New Roman" w:cs="Times New Roman"/>
                <w:sz w:val="21"/>
                <w:szCs w:val="21"/>
              </w:rPr>
              <w:t>“</w:t>
            </w:r>
            <w:r>
              <w:rPr>
                <w:rFonts w:cs="Times New Roman" w:hint="eastAsia"/>
                <w:sz w:val="21"/>
                <w:szCs w:val="21"/>
              </w:rPr>
              <w:t>小巨人</w:t>
            </w:r>
            <w:r>
              <w:rPr>
                <w:rFonts w:ascii="Times New Roman" w:hAnsi="Times New Roman" w:cs="Times New Roman"/>
                <w:sz w:val="21"/>
                <w:szCs w:val="21"/>
              </w:rPr>
              <w:t>”</w:t>
            </w:r>
            <w:r>
              <w:rPr>
                <w:rFonts w:cs="Times New Roman" w:hint="eastAsia"/>
                <w:sz w:val="21"/>
                <w:szCs w:val="21"/>
              </w:rPr>
              <w:t>企业和制造业单项冠军企业</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2021</w:t>
            </w:r>
            <w:r>
              <w:rPr>
                <w:rFonts w:cs="Times New Roman" w:hint="eastAsia"/>
                <w:sz w:val="21"/>
                <w:szCs w:val="21"/>
              </w:rPr>
              <w:t>年</w:t>
            </w:r>
            <w:r>
              <w:rPr>
                <w:rFonts w:ascii="Times New Roman" w:hAnsi="Times New Roman" w:cs="Times New Roman"/>
                <w:sz w:val="21"/>
                <w:szCs w:val="21"/>
              </w:rPr>
              <w:t>3</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国家发改委</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《中华人民共和国国民经济和社会发展第十四个五年规划和</w:t>
            </w:r>
            <w:r>
              <w:rPr>
                <w:rFonts w:ascii="Times New Roman" w:hAnsi="Times New Roman" w:cs="Times New Roman"/>
                <w:sz w:val="21"/>
                <w:szCs w:val="21"/>
              </w:rPr>
              <w:t>2035</w:t>
            </w:r>
            <w:r>
              <w:rPr>
                <w:rFonts w:cs="Times New Roman" w:hint="eastAsia"/>
                <w:sz w:val="21"/>
                <w:szCs w:val="21"/>
              </w:rPr>
              <w:t>年远景目标纲要》</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深入实施智能制造和绿色制造工程，发展服务型制造新模式，推动制造业高端化智能化绿色化</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2021</w:t>
            </w:r>
            <w:r>
              <w:rPr>
                <w:rFonts w:cs="Times New Roman" w:hint="eastAsia"/>
                <w:sz w:val="21"/>
                <w:szCs w:val="21"/>
              </w:rPr>
              <w:t>年</w:t>
            </w:r>
            <w:r>
              <w:rPr>
                <w:rFonts w:ascii="Times New Roman" w:hAnsi="Times New Roman" w:cs="Times New Roman"/>
                <w:sz w:val="21"/>
                <w:szCs w:val="21"/>
              </w:rPr>
              <w:t>4</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中国银保监会办公厅</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《关于</w:t>
            </w:r>
            <w:r>
              <w:rPr>
                <w:rFonts w:ascii="Times New Roman" w:hAnsi="Times New Roman" w:cs="Times New Roman"/>
                <w:sz w:val="21"/>
                <w:szCs w:val="21"/>
              </w:rPr>
              <w:t>2021</w:t>
            </w:r>
            <w:r>
              <w:rPr>
                <w:rFonts w:cs="Times New Roman" w:hint="eastAsia"/>
                <w:sz w:val="21"/>
                <w:szCs w:val="21"/>
              </w:rPr>
              <w:t>年进一步推动小微企业金融服务高质量发展的通知》</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对掌握产业</w:t>
            </w:r>
            <w:r>
              <w:rPr>
                <w:rStyle w:val="a5"/>
                <w:rFonts w:ascii="Times New Roman" w:hAnsi="Times New Roman" w:cs="Times New Roman"/>
                <w:sz w:val="21"/>
                <w:szCs w:val="21"/>
              </w:rPr>
              <w:t>“</w:t>
            </w:r>
            <w:r>
              <w:rPr>
                <w:rStyle w:val="a5"/>
                <w:rFonts w:cs="Times New Roman" w:hint="eastAsia"/>
                <w:sz w:val="21"/>
                <w:szCs w:val="21"/>
              </w:rPr>
              <w:t>专精特新</w:t>
            </w:r>
            <w:r>
              <w:rPr>
                <w:rStyle w:val="a5"/>
                <w:rFonts w:ascii="Times New Roman" w:hAnsi="Times New Roman" w:cs="Times New Roman"/>
                <w:sz w:val="21"/>
                <w:szCs w:val="21"/>
              </w:rPr>
              <w:t>”</w:t>
            </w:r>
            <w:r>
              <w:rPr>
                <w:rFonts w:cs="Times New Roman" w:hint="eastAsia"/>
                <w:sz w:val="21"/>
                <w:szCs w:val="21"/>
              </w:rPr>
              <w:t>技术、特别是在</w:t>
            </w:r>
            <w:r>
              <w:rPr>
                <w:rFonts w:ascii="Times New Roman" w:hAnsi="Times New Roman" w:cs="Times New Roman"/>
                <w:sz w:val="21"/>
                <w:szCs w:val="21"/>
              </w:rPr>
              <w:t>“</w:t>
            </w:r>
            <w:r>
              <w:rPr>
                <w:rFonts w:cs="Times New Roman" w:hint="eastAsia"/>
                <w:sz w:val="21"/>
                <w:szCs w:val="21"/>
              </w:rPr>
              <w:t>卡脖子</w:t>
            </w:r>
            <w:r>
              <w:rPr>
                <w:rFonts w:ascii="Times New Roman" w:hAnsi="Times New Roman" w:cs="Times New Roman"/>
                <w:sz w:val="21"/>
                <w:szCs w:val="21"/>
              </w:rPr>
              <w:t>”</w:t>
            </w:r>
            <w:r>
              <w:rPr>
                <w:rFonts w:cs="Times New Roman" w:hint="eastAsia"/>
                <w:sz w:val="21"/>
                <w:szCs w:val="21"/>
              </w:rPr>
              <w:t>关键技术攻关中发挥作用的小微企业，要量身定做金融服务方案，及时给予资金支持。</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2021</w:t>
            </w:r>
            <w:r>
              <w:rPr>
                <w:rFonts w:cs="Times New Roman" w:hint="eastAsia"/>
                <w:sz w:val="21"/>
                <w:szCs w:val="21"/>
              </w:rPr>
              <w:t>年</w:t>
            </w:r>
            <w:r>
              <w:rPr>
                <w:rFonts w:ascii="Times New Roman" w:hAnsi="Times New Roman" w:cs="Times New Roman"/>
                <w:sz w:val="21"/>
                <w:szCs w:val="21"/>
              </w:rPr>
              <w:t>7</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工信部</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《关于培育发展制造业优质企业的指导意见》</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健全梯度培育工作机制，引导</w:t>
            </w:r>
            <w:r>
              <w:rPr>
                <w:rStyle w:val="a5"/>
                <w:rFonts w:ascii="Times New Roman" w:hAnsi="Times New Roman" w:cs="Times New Roman"/>
                <w:sz w:val="21"/>
                <w:szCs w:val="21"/>
              </w:rPr>
              <w:t>“</w:t>
            </w:r>
            <w:r>
              <w:rPr>
                <w:rStyle w:val="a5"/>
                <w:rFonts w:cs="Times New Roman" w:hint="eastAsia"/>
                <w:sz w:val="21"/>
                <w:szCs w:val="21"/>
              </w:rPr>
              <w:t>专精特新</w:t>
            </w:r>
            <w:r>
              <w:rPr>
                <w:rStyle w:val="a5"/>
                <w:rFonts w:ascii="Times New Roman" w:hAnsi="Times New Roman" w:cs="Times New Roman"/>
                <w:sz w:val="21"/>
                <w:szCs w:val="21"/>
              </w:rPr>
              <w:t>”</w:t>
            </w:r>
            <w:r>
              <w:rPr>
                <w:rFonts w:cs="Times New Roman" w:hint="eastAsia"/>
                <w:sz w:val="21"/>
                <w:szCs w:val="21"/>
              </w:rPr>
              <w:t>中小企业成长为国内市场领先的</w:t>
            </w:r>
            <w:r>
              <w:rPr>
                <w:rFonts w:ascii="Times New Roman" w:hAnsi="Times New Roman" w:cs="Times New Roman"/>
                <w:sz w:val="21"/>
                <w:szCs w:val="21"/>
              </w:rPr>
              <w:t>“</w:t>
            </w:r>
            <w:r>
              <w:rPr>
                <w:rFonts w:cs="Times New Roman" w:hint="eastAsia"/>
                <w:sz w:val="21"/>
                <w:szCs w:val="21"/>
              </w:rPr>
              <w:t>小巨人</w:t>
            </w:r>
            <w:r>
              <w:rPr>
                <w:rFonts w:ascii="Times New Roman" w:hAnsi="Times New Roman" w:cs="Times New Roman"/>
                <w:sz w:val="21"/>
                <w:szCs w:val="21"/>
              </w:rPr>
              <w:t>”</w:t>
            </w:r>
            <w:r>
              <w:rPr>
                <w:rFonts w:cs="Times New Roman" w:hint="eastAsia"/>
                <w:sz w:val="21"/>
                <w:szCs w:val="21"/>
              </w:rPr>
              <w:t>企业，聚焦重点行业和领域引导</w:t>
            </w:r>
            <w:r>
              <w:rPr>
                <w:rFonts w:ascii="Times New Roman" w:hAnsi="Times New Roman" w:cs="Times New Roman"/>
                <w:sz w:val="21"/>
                <w:szCs w:val="21"/>
              </w:rPr>
              <w:t>“</w:t>
            </w:r>
            <w:r>
              <w:rPr>
                <w:rFonts w:cs="Times New Roman" w:hint="eastAsia"/>
                <w:sz w:val="21"/>
                <w:szCs w:val="21"/>
              </w:rPr>
              <w:t>小巨人</w:t>
            </w:r>
            <w:r>
              <w:rPr>
                <w:rFonts w:ascii="Times New Roman" w:hAnsi="Times New Roman" w:cs="Times New Roman"/>
                <w:sz w:val="21"/>
                <w:szCs w:val="21"/>
              </w:rPr>
              <w:t>”</w:t>
            </w:r>
            <w:r>
              <w:rPr>
                <w:rFonts w:cs="Times New Roman" w:hint="eastAsia"/>
                <w:sz w:val="21"/>
                <w:szCs w:val="21"/>
              </w:rPr>
              <w:t>等各类企业成长为国际市场领先的单项冠军企业，引导大企业集团发展成为具有生态主导力、国际竞争力的领航企业。力争到</w:t>
            </w:r>
            <w:r>
              <w:rPr>
                <w:rFonts w:ascii="Times New Roman" w:hAnsi="Times New Roman" w:cs="Times New Roman"/>
                <w:sz w:val="21"/>
                <w:szCs w:val="21"/>
              </w:rPr>
              <w:t>2025</w:t>
            </w:r>
            <w:r>
              <w:rPr>
                <w:rFonts w:cs="Times New Roman" w:hint="eastAsia"/>
                <w:sz w:val="21"/>
                <w:szCs w:val="21"/>
              </w:rPr>
              <w:t>年，梯度培育格局基本成型，发展形成万家</w:t>
            </w:r>
            <w:r>
              <w:rPr>
                <w:rFonts w:ascii="Times New Roman" w:hAnsi="Times New Roman" w:cs="Times New Roman"/>
                <w:sz w:val="21"/>
                <w:szCs w:val="21"/>
              </w:rPr>
              <w:t>“</w:t>
            </w:r>
            <w:r>
              <w:rPr>
                <w:rFonts w:cs="Times New Roman" w:hint="eastAsia"/>
                <w:sz w:val="21"/>
                <w:szCs w:val="21"/>
              </w:rPr>
              <w:t>小巨人</w:t>
            </w:r>
            <w:r>
              <w:rPr>
                <w:rFonts w:ascii="Times New Roman" w:hAnsi="Times New Roman" w:cs="Times New Roman"/>
                <w:sz w:val="21"/>
                <w:szCs w:val="21"/>
              </w:rPr>
              <w:t>”</w:t>
            </w:r>
            <w:r>
              <w:rPr>
                <w:rFonts w:cs="Times New Roman" w:hint="eastAsia"/>
                <w:sz w:val="21"/>
                <w:szCs w:val="21"/>
              </w:rPr>
              <w:t>企业、千家单项冠军企业和一大批领航企业。</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2021</w:t>
            </w:r>
            <w:r>
              <w:rPr>
                <w:rFonts w:cs="Times New Roman" w:hint="eastAsia"/>
                <w:sz w:val="21"/>
                <w:szCs w:val="21"/>
              </w:rPr>
              <w:t>年</w:t>
            </w:r>
            <w:r>
              <w:rPr>
                <w:rFonts w:ascii="Times New Roman" w:hAnsi="Times New Roman" w:cs="Times New Roman"/>
                <w:sz w:val="21"/>
                <w:szCs w:val="21"/>
              </w:rPr>
              <w:t>11</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工信部、市场监管总局</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《电机能效提升计划（</w:t>
            </w:r>
            <w:r>
              <w:rPr>
                <w:rFonts w:ascii="Times New Roman" w:hAnsi="Times New Roman" w:cs="Times New Roman"/>
                <w:sz w:val="21"/>
                <w:szCs w:val="21"/>
              </w:rPr>
              <w:t>2021-2023</w:t>
            </w:r>
            <w:r>
              <w:rPr>
                <w:rFonts w:cs="Times New Roman" w:hint="eastAsia"/>
                <w:sz w:val="21"/>
                <w:szCs w:val="21"/>
              </w:rPr>
              <w:t>年）》</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针对</w:t>
            </w:r>
            <w:r>
              <w:rPr>
                <w:rStyle w:val="a5"/>
                <w:rFonts w:cs="Times New Roman" w:hint="eastAsia"/>
                <w:sz w:val="21"/>
                <w:szCs w:val="21"/>
              </w:rPr>
              <w:t>压缩机</w:t>
            </w:r>
            <w:r>
              <w:rPr>
                <w:rFonts w:cs="Times New Roman" w:hint="eastAsia"/>
                <w:sz w:val="21"/>
                <w:szCs w:val="21"/>
              </w:rPr>
              <w:t>等通用设备，鼓励采用</w:t>
            </w:r>
            <w:r>
              <w:rPr>
                <w:rFonts w:ascii="Times New Roman" w:hAnsi="Times New Roman" w:cs="Times New Roman"/>
                <w:sz w:val="21"/>
                <w:szCs w:val="21"/>
              </w:rPr>
              <w:t xml:space="preserve">2 </w:t>
            </w:r>
            <w:r>
              <w:rPr>
                <w:rFonts w:cs="Times New Roman" w:hint="eastAsia"/>
                <w:sz w:val="21"/>
                <w:szCs w:val="21"/>
              </w:rPr>
              <w:t>级能效及以上的电动机，推广</w:t>
            </w:r>
            <w:r>
              <w:rPr>
                <w:rFonts w:ascii="Times New Roman" w:hAnsi="Times New Roman" w:cs="Times New Roman"/>
                <w:sz w:val="21"/>
                <w:szCs w:val="21"/>
              </w:rPr>
              <w:t xml:space="preserve">2 </w:t>
            </w:r>
            <w:r>
              <w:rPr>
                <w:rFonts w:cs="Times New Roman" w:hint="eastAsia"/>
                <w:sz w:val="21"/>
                <w:szCs w:val="21"/>
              </w:rPr>
              <w:t>级能效及以上的变频调速永磁电机，鼓励采用低速直驱和高速直驱式永磁电机。大力发展永磁外转子电动滚筒、</w:t>
            </w:r>
            <w:r>
              <w:rPr>
                <w:rStyle w:val="a5"/>
                <w:rFonts w:cs="Times New Roman" w:hint="eastAsia"/>
                <w:sz w:val="21"/>
                <w:szCs w:val="21"/>
              </w:rPr>
              <w:t>一体式螺杆压缩机</w:t>
            </w:r>
            <w:r>
              <w:rPr>
                <w:rFonts w:cs="Times New Roman" w:hint="eastAsia"/>
                <w:sz w:val="21"/>
                <w:szCs w:val="21"/>
              </w:rPr>
              <w:t>等。</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2021</w:t>
            </w:r>
            <w:r>
              <w:rPr>
                <w:rFonts w:cs="Times New Roman" w:hint="eastAsia"/>
                <w:sz w:val="21"/>
                <w:szCs w:val="21"/>
              </w:rPr>
              <w:t>年</w:t>
            </w:r>
            <w:r>
              <w:rPr>
                <w:rFonts w:ascii="Times New Roman" w:hAnsi="Times New Roman" w:cs="Times New Roman"/>
                <w:sz w:val="21"/>
                <w:szCs w:val="21"/>
              </w:rPr>
              <w:t>11</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工信部</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《“十四五”工业绿色发展规划》</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color w:val="000000"/>
                <w:sz w:val="21"/>
                <w:szCs w:val="21"/>
              </w:rPr>
              <w:t>推动工业窑炉、锅炉、电机、泵、风机、</w:t>
            </w:r>
            <w:r>
              <w:rPr>
                <w:rStyle w:val="a5"/>
                <w:rFonts w:cs="Times New Roman" w:hint="eastAsia"/>
                <w:color w:val="000000"/>
                <w:sz w:val="21"/>
                <w:szCs w:val="21"/>
              </w:rPr>
              <w:t>压缩机</w:t>
            </w:r>
            <w:r>
              <w:rPr>
                <w:rFonts w:cs="Times New Roman" w:hint="eastAsia"/>
                <w:color w:val="000000"/>
                <w:sz w:val="21"/>
                <w:szCs w:val="21"/>
              </w:rPr>
              <w:t>等重点用能设备系统的节能改造。</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2022</w:t>
            </w:r>
            <w:r>
              <w:rPr>
                <w:rFonts w:cs="Times New Roman" w:hint="eastAsia"/>
                <w:sz w:val="21"/>
                <w:szCs w:val="21"/>
              </w:rPr>
              <w:t>年</w:t>
            </w:r>
            <w:r>
              <w:rPr>
                <w:rFonts w:ascii="Times New Roman" w:hAnsi="Times New Roman" w:cs="Times New Roman"/>
                <w:sz w:val="21"/>
                <w:szCs w:val="21"/>
              </w:rPr>
              <w:t>6</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工信部</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《工业能效提升行动计划》</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开展重点用能设备系统匹配性节能改造和运行控制优化，提高风机、泵、</w:t>
            </w:r>
            <w:r>
              <w:rPr>
                <w:rStyle w:val="a5"/>
                <w:rFonts w:cs="Times New Roman" w:hint="eastAsia"/>
                <w:sz w:val="21"/>
                <w:szCs w:val="21"/>
              </w:rPr>
              <w:t>压缩机</w:t>
            </w:r>
            <w:r>
              <w:rPr>
                <w:rFonts w:cs="Times New Roman" w:hint="eastAsia"/>
                <w:sz w:val="21"/>
                <w:szCs w:val="21"/>
              </w:rPr>
              <w:t>等电机系统效率和质量。禁止企业生产、销售不符合能效强制性国家标准要求的用能设备及其系统。</w:t>
            </w:r>
          </w:p>
        </w:tc>
      </w:tr>
      <w:tr w:rsidR="000C39A3">
        <w:trPr>
          <w:divId w:val="2003770982"/>
        </w:trPr>
        <w:tc>
          <w:tcPr>
            <w:tcW w:w="1560" w:type="dxa"/>
            <w:tcBorders>
              <w:top w:val="nil"/>
              <w:left w:val="single" w:sz="8" w:space="0" w:color="auto"/>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ascii="Times New Roman" w:hAnsi="Times New Roman" w:cs="Times New Roman"/>
                <w:sz w:val="21"/>
                <w:szCs w:val="21"/>
              </w:rPr>
              <w:t>2022</w:t>
            </w:r>
            <w:r>
              <w:rPr>
                <w:rFonts w:cs="Times New Roman" w:hint="eastAsia"/>
                <w:sz w:val="21"/>
                <w:szCs w:val="21"/>
              </w:rPr>
              <w:t>年</w:t>
            </w:r>
            <w:r>
              <w:rPr>
                <w:rFonts w:ascii="Times New Roman" w:hAnsi="Times New Roman" w:cs="Times New Roman"/>
                <w:sz w:val="21"/>
                <w:szCs w:val="21"/>
              </w:rPr>
              <w:t>8</w:t>
            </w:r>
            <w:r>
              <w:rPr>
                <w:rFonts w:cs="Times New Roman" w:hint="eastAsia"/>
                <w:sz w:val="21"/>
                <w:szCs w:val="21"/>
              </w:rPr>
              <w:t>月</w:t>
            </w:r>
          </w:p>
        </w:tc>
        <w:tc>
          <w:tcPr>
            <w:tcW w:w="1842"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center"/>
              <w:rPr>
                <w:rFonts w:ascii="Times New Roman" w:hAnsi="Times New Roman" w:cs="Times New Roman"/>
                <w:sz w:val="18"/>
                <w:szCs w:val="18"/>
              </w:rPr>
            </w:pPr>
            <w:r>
              <w:rPr>
                <w:rFonts w:cs="Times New Roman" w:hint="eastAsia"/>
                <w:sz w:val="21"/>
                <w:szCs w:val="21"/>
              </w:rPr>
              <w:t>工信部</w:t>
            </w:r>
          </w:p>
        </w:tc>
        <w:tc>
          <w:tcPr>
            <w:tcW w:w="201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《关于开展2022年工业节能监察工作的通知》</w:t>
            </w:r>
          </w:p>
        </w:tc>
        <w:tc>
          <w:tcPr>
            <w:tcW w:w="4561" w:type="dxa"/>
            <w:tcBorders>
              <w:top w:val="nil"/>
              <w:left w:val="nil"/>
              <w:bottom w:val="single" w:sz="8" w:space="0" w:color="auto"/>
              <w:right w:val="single" w:sz="8" w:space="0" w:color="auto"/>
            </w:tcBorders>
            <w:tcMar>
              <w:top w:w="10" w:type="dxa"/>
              <w:left w:w="10" w:type="dxa"/>
              <w:bottom w:w="10" w:type="dxa"/>
              <w:right w:w="10" w:type="dxa"/>
            </w:tcMar>
            <w:vAlign w:val="center"/>
            <w:hideMark/>
          </w:tcPr>
          <w:p w:rsidR="000C39A3" w:rsidRDefault="000C39A3">
            <w:pPr>
              <w:pStyle w:val="a4"/>
              <w:spacing w:before="40" w:beforeAutospacing="0" w:after="40" w:afterAutospacing="0"/>
              <w:jc w:val="both"/>
              <w:rPr>
                <w:rFonts w:ascii="Times New Roman" w:hAnsi="Times New Roman" w:cs="Times New Roman"/>
                <w:sz w:val="18"/>
                <w:szCs w:val="18"/>
              </w:rPr>
            </w:pPr>
            <w:r>
              <w:rPr>
                <w:rFonts w:cs="Times New Roman" w:hint="eastAsia"/>
                <w:sz w:val="21"/>
                <w:szCs w:val="21"/>
              </w:rPr>
              <w:t>落实《电机能效提升计划（2021-2023年）》等，对电机、变压器、风机、</w:t>
            </w:r>
            <w:r>
              <w:rPr>
                <w:rStyle w:val="a5"/>
                <w:rFonts w:cs="Times New Roman" w:hint="eastAsia"/>
                <w:sz w:val="21"/>
                <w:szCs w:val="21"/>
              </w:rPr>
              <w:t>空压机</w:t>
            </w:r>
            <w:r>
              <w:rPr>
                <w:rFonts w:cs="Times New Roman" w:hint="eastAsia"/>
                <w:sz w:val="21"/>
                <w:szCs w:val="21"/>
              </w:rPr>
              <w:t>、泵等重点用能设备用户企业开展节能监察，核查设备台账，会同有关部门依法督促企业淘汰达不到强制性能效标准限定值的低效设备。</w:t>
            </w:r>
          </w:p>
        </w:tc>
      </w:tr>
    </w:tbl>
    <w:p w:rsidR="000C39A3" w:rsidRDefault="000C39A3">
      <w:pPr>
        <w:divId w:val="2003770982"/>
      </w:pPr>
    </w:p>
    <w:p w:rsidR="0080594E" w:rsidRDefault="000C39A3">
      <w:pPr>
        <w:pStyle w:val="2"/>
        <w:spacing w:before="300" w:after="300" w:line="320" w:lineRule="exact"/>
        <w:rPr>
          <w:rFonts w:ascii="宋体" w:eastAsia="宋体" w:hAnsi="宋体" w:cs="宋体"/>
          <w:b/>
          <w:bCs/>
          <w:sz w:val="24"/>
          <w:szCs w:val="24"/>
        </w:rPr>
      </w:pPr>
      <w:bookmarkStart w:id="15" w:name="_Toc988903"/>
      <w:r>
        <w:rPr>
          <w:rFonts w:ascii="宋体" w:eastAsia="宋体" w:hAnsi="宋体" w:cs="宋体"/>
          <w:b/>
          <w:bCs/>
          <w:sz w:val="24"/>
          <w:szCs w:val="24"/>
        </w:rPr>
        <w:lastRenderedPageBreak/>
        <w:t>二、报告期内公司从事的主要业务</w:t>
      </w:r>
      <w:bookmarkEnd w:id="15"/>
    </w:p>
    <w:p w:rsidR="0080594E" w:rsidRDefault="000C39A3">
      <w:pPr>
        <w:ind w:firstLine="481"/>
        <w:jc w:val="both"/>
      </w:pPr>
      <w:r>
        <w:rPr>
          <w:rFonts w:ascii="宋体" w:hAnsi="宋体"/>
          <w:b/>
          <w:sz w:val="24"/>
        </w:rPr>
        <w:t>（</w:t>
      </w:r>
      <w:r>
        <w:rPr>
          <w:rFonts w:ascii="Times New Roman" w:hAnsi="Times New Roman"/>
          <w:b/>
          <w:sz w:val="24"/>
        </w:rPr>
        <w:t>1</w:t>
      </w:r>
      <w:r>
        <w:rPr>
          <w:rFonts w:ascii="宋体" w:hAnsi="宋体"/>
          <w:b/>
          <w:sz w:val="24"/>
        </w:rPr>
        <w:t>）空气压缩机应用简介</w:t>
      </w:r>
    </w:p>
    <w:p w:rsidR="0080594E" w:rsidRDefault="000C39A3" w:rsidP="003A05C1">
      <w:pPr>
        <w:spacing w:line="360" w:lineRule="auto"/>
        <w:ind w:firstLine="479"/>
        <w:jc w:val="both"/>
      </w:pPr>
      <w:r>
        <w:rPr>
          <w:rFonts w:ascii="宋体" w:hAnsi="宋体"/>
          <w:sz w:val="24"/>
        </w:rPr>
        <w:t>空气压缩机是一种通过压缩的方式使低压气体转变为高压气体，从而将原动机（通常是电动机）的机械能转化为气体压力能的气压发生装置。</w:t>
      </w:r>
    </w:p>
    <w:p w:rsidR="0080594E" w:rsidRDefault="000C39A3" w:rsidP="003A05C1">
      <w:pPr>
        <w:spacing w:line="360" w:lineRule="auto"/>
        <w:ind w:firstLine="479"/>
        <w:jc w:val="both"/>
      </w:pPr>
      <w:r>
        <w:rPr>
          <w:rFonts w:ascii="宋体" w:hAnsi="宋体"/>
          <w:sz w:val="24"/>
        </w:rPr>
        <w:t>空气压缩机主要用于提供空气动力，是工业现代化、自动化的基础动力产品，是工业活动中必不可少的设备之一，广泛应用于装备制造、新能源、半导体、汽车、冶金、</w:t>
      </w:r>
      <w:r>
        <w:rPr>
          <w:rFonts w:ascii="Times New Roman" w:hAnsi="Times New Roman"/>
          <w:sz w:val="24"/>
        </w:rPr>
        <w:t xml:space="preserve"> </w:t>
      </w:r>
      <w:r>
        <w:rPr>
          <w:rFonts w:ascii="宋体" w:hAnsi="宋体"/>
          <w:sz w:val="24"/>
        </w:rPr>
        <w:t>电力、电子、医疗、纺织、食品饮料等工业领域，常见应用场景如下表所示：</w:t>
      </w:r>
    </w:p>
    <w:tbl>
      <w:tblPr>
        <w:tblStyle w:val="a3"/>
        <w:tblW w:w="0" w:type="auto"/>
        <w:tblCellMar>
          <w:left w:w="0" w:type="dxa"/>
          <w:right w:w="0" w:type="dxa"/>
        </w:tblCellMar>
        <w:tblLook w:val="04A0" w:firstRow="1" w:lastRow="0" w:firstColumn="1" w:lastColumn="0" w:noHBand="0" w:noVBand="1"/>
      </w:tblPr>
      <w:tblGrid>
        <w:gridCol w:w="1427"/>
        <w:gridCol w:w="8230"/>
      </w:tblGrid>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ind w:right="89"/>
              <w:jc w:val="center"/>
            </w:pPr>
            <w:r>
              <w:rPr>
                <w:rFonts w:ascii="宋体" w:hAnsi="宋体"/>
                <w:b/>
                <w:sz w:val="24"/>
              </w:rPr>
              <w:t>行业类别</w:t>
            </w:r>
          </w:p>
        </w:tc>
        <w:tc>
          <w:tcPr>
            <w:tcW w:w="845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ind w:left="96"/>
              <w:jc w:val="center"/>
            </w:pPr>
            <w:r>
              <w:rPr>
                <w:rFonts w:ascii="宋体" w:hAnsi="宋体"/>
                <w:b/>
                <w:sz w:val="24"/>
              </w:rPr>
              <w:t>具体应用举例</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ind w:right="89"/>
              <w:jc w:val="center"/>
            </w:pPr>
            <w:r>
              <w:rPr>
                <w:rFonts w:ascii="宋体" w:hAnsi="宋体"/>
                <w:sz w:val="24"/>
              </w:rPr>
              <w:t>集成电路</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ind w:left="96"/>
              <w:jc w:val="both"/>
            </w:pPr>
            <w:r>
              <w:rPr>
                <w:rFonts w:ascii="宋体" w:hAnsi="宋体"/>
                <w:sz w:val="24"/>
              </w:rPr>
              <w:t>单晶硅制造拉单晶，晶圆加工光刻、刻蚀等，封装测试模塑</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ind w:right="89"/>
              <w:jc w:val="center"/>
            </w:pPr>
            <w:r>
              <w:rPr>
                <w:rFonts w:ascii="宋体" w:hAnsi="宋体"/>
                <w:sz w:val="24"/>
              </w:rPr>
              <w:t>新能源</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ind w:left="96"/>
              <w:jc w:val="both"/>
            </w:pPr>
            <w:r>
              <w:rPr>
                <w:rFonts w:ascii="宋体" w:hAnsi="宋体"/>
                <w:sz w:val="24"/>
              </w:rPr>
              <w:t>光伏硅料清洗、电池片，</w:t>
            </w:r>
            <w:r>
              <w:rPr>
                <w:rFonts w:ascii="Times New Roman" w:hAnsi="Times New Roman"/>
                <w:sz w:val="24"/>
              </w:rPr>
              <w:t xml:space="preserve"> </w:t>
            </w:r>
            <w:r>
              <w:rPr>
                <w:rFonts w:ascii="宋体" w:hAnsi="宋体"/>
                <w:sz w:val="24"/>
              </w:rPr>
              <w:t>锂电设备维护、真空吸附</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148"/>
              <w:ind w:right="89"/>
              <w:jc w:val="center"/>
            </w:pPr>
            <w:r>
              <w:rPr>
                <w:rFonts w:ascii="宋体" w:hAnsi="宋体"/>
                <w:sz w:val="24"/>
              </w:rPr>
              <w:t>医疗行业</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ind w:left="100"/>
              <w:jc w:val="both"/>
            </w:pPr>
            <w:r>
              <w:rPr>
                <w:rFonts w:ascii="宋体" w:hAnsi="宋体"/>
                <w:sz w:val="24"/>
              </w:rPr>
              <w:t>驱动口罩机的气动元件、熔喷布生产过程中利用空气动力拉伸纤维、高压气体</w:t>
            </w:r>
          </w:p>
          <w:p w:rsidR="0080594E" w:rsidRDefault="000C39A3">
            <w:pPr>
              <w:spacing w:before="50"/>
              <w:ind w:left="100"/>
              <w:jc w:val="both"/>
            </w:pPr>
            <w:r>
              <w:rPr>
                <w:rFonts w:ascii="宋体" w:hAnsi="宋体"/>
                <w:sz w:val="24"/>
              </w:rPr>
              <w:t>吹瓶吹塑、压缩搅拌、灌装二氧化碳</w:t>
            </w:r>
            <w:r>
              <w:rPr>
                <w:rFonts w:ascii="Times New Roman" w:hAnsi="Times New Roman"/>
                <w:b/>
                <w:sz w:val="24"/>
              </w:rPr>
              <w:t xml:space="preserve"> </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150"/>
              <w:ind w:right="89"/>
              <w:jc w:val="center"/>
            </w:pPr>
            <w:r>
              <w:rPr>
                <w:rFonts w:ascii="宋体" w:hAnsi="宋体"/>
                <w:sz w:val="24"/>
              </w:rPr>
              <w:t>装备行业</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ind w:left="100" w:right="106"/>
              <w:jc w:val="both"/>
            </w:pPr>
            <w:r>
              <w:rPr>
                <w:rFonts w:ascii="宋体" w:hAnsi="宋体"/>
                <w:sz w:val="24"/>
              </w:rPr>
              <w:t>驱动各种风动机械，如风镐、铆钉机、压力机、升降机等；仪表控制及自动化装置，如气动仪表、气动阀门等；喷涂喷砂，如喷漆枪等</w:t>
            </w:r>
            <w:r>
              <w:rPr>
                <w:rFonts w:ascii="Times New Roman" w:hAnsi="Times New Roman"/>
                <w:sz w:val="24"/>
              </w:rPr>
              <w:t xml:space="preserve"> </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21"/>
              <w:ind w:right="89"/>
              <w:jc w:val="center"/>
            </w:pPr>
            <w:r>
              <w:rPr>
                <w:rFonts w:ascii="宋体" w:hAnsi="宋体"/>
                <w:sz w:val="24"/>
              </w:rPr>
              <w:t>汽车行业</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spacing w:before="21"/>
              <w:ind w:left="100"/>
              <w:jc w:val="both"/>
            </w:pPr>
            <w:r>
              <w:rPr>
                <w:rFonts w:ascii="宋体" w:hAnsi="宋体"/>
                <w:sz w:val="24"/>
              </w:rPr>
              <w:t>利用压缩空气来对汽车进行清洁、水基涂料、喷漆辅助、自动冲压等</w:t>
            </w:r>
            <w:r>
              <w:rPr>
                <w:rFonts w:ascii="Times New Roman" w:hAnsi="Times New Roman"/>
                <w:sz w:val="24"/>
              </w:rPr>
              <w:t xml:space="preserve"> </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21"/>
              <w:ind w:right="89"/>
              <w:jc w:val="center"/>
            </w:pPr>
            <w:r>
              <w:rPr>
                <w:rFonts w:ascii="宋体" w:hAnsi="宋体"/>
                <w:sz w:val="24"/>
              </w:rPr>
              <w:t>冶金行业</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spacing w:before="21"/>
              <w:ind w:left="100"/>
              <w:jc w:val="both"/>
            </w:pPr>
            <w:r>
              <w:rPr>
                <w:rFonts w:ascii="宋体" w:hAnsi="宋体"/>
                <w:sz w:val="24"/>
              </w:rPr>
              <w:t>高压爆破开采；输送煤粉；输送助燃气体，如高炉送风、高炉送氧等</w:t>
            </w:r>
            <w:r>
              <w:rPr>
                <w:rFonts w:ascii="Times New Roman" w:hAnsi="Times New Roman"/>
                <w:sz w:val="24"/>
              </w:rPr>
              <w:t xml:space="preserve"> </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150"/>
              <w:ind w:right="89"/>
              <w:jc w:val="center"/>
            </w:pPr>
            <w:r>
              <w:rPr>
                <w:rFonts w:ascii="宋体" w:hAnsi="宋体"/>
                <w:sz w:val="24"/>
              </w:rPr>
              <w:t>电力行业</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ind w:left="100" w:right="106"/>
              <w:jc w:val="both"/>
            </w:pPr>
            <w:r>
              <w:rPr>
                <w:rFonts w:ascii="宋体" w:hAnsi="宋体"/>
                <w:sz w:val="24"/>
              </w:rPr>
              <w:t>吹气清洁管道、吹除烟垢、清洁锅炉及冷凝器管道、喷气清洗、清除污水、气动控制等</w:t>
            </w:r>
            <w:r>
              <w:rPr>
                <w:rFonts w:ascii="Times New Roman" w:hAnsi="Times New Roman"/>
                <w:sz w:val="24"/>
              </w:rPr>
              <w:t xml:space="preserve"> </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21"/>
              <w:ind w:right="89"/>
              <w:jc w:val="center"/>
            </w:pPr>
            <w:r>
              <w:rPr>
                <w:rFonts w:ascii="宋体" w:hAnsi="宋体"/>
                <w:sz w:val="24"/>
              </w:rPr>
              <w:t>电子行业</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spacing w:before="21"/>
              <w:ind w:left="100"/>
              <w:jc w:val="both"/>
            </w:pPr>
            <w:r>
              <w:rPr>
                <w:rFonts w:ascii="宋体" w:hAnsi="宋体"/>
                <w:sz w:val="24"/>
              </w:rPr>
              <w:t>输送粒状物、干燥气动控制等</w:t>
            </w:r>
            <w:r>
              <w:rPr>
                <w:rFonts w:ascii="Times New Roman" w:hAnsi="Times New Roman"/>
                <w:sz w:val="24"/>
              </w:rPr>
              <w:t xml:space="preserve"> </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21"/>
              <w:ind w:right="89"/>
              <w:jc w:val="center"/>
            </w:pPr>
            <w:r>
              <w:rPr>
                <w:rFonts w:ascii="宋体" w:hAnsi="宋体"/>
                <w:sz w:val="24"/>
              </w:rPr>
              <w:t>纺织行业</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spacing w:before="21"/>
              <w:ind w:left="100"/>
              <w:jc w:val="both"/>
            </w:pPr>
            <w:r>
              <w:rPr>
                <w:rFonts w:ascii="宋体" w:hAnsi="宋体"/>
                <w:sz w:val="24"/>
              </w:rPr>
              <w:t>搅拌液体、润湿、喷气编织、纬纱吹送、牛仔布砂洗等</w:t>
            </w:r>
            <w:r>
              <w:rPr>
                <w:rFonts w:ascii="Times New Roman" w:hAnsi="Times New Roman"/>
                <w:sz w:val="24"/>
              </w:rPr>
              <w:t xml:space="preserve"> </w:t>
            </w:r>
          </w:p>
        </w:tc>
      </w:tr>
      <w:tr w:rsidR="0080594E">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spacing w:before="21"/>
              <w:ind w:right="89"/>
              <w:jc w:val="center"/>
            </w:pPr>
            <w:r>
              <w:rPr>
                <w:rFonts w:ascii="宋体" w:hAnsi="宋体"/>
                <w:sz w:val="24"/>
              </w:rPr>
              <w:t>食品饮料</w:t>
            </w:r>
          </w:p>
        </w:tc>
        <w:tc>
          <w:tcPr>
            <w:tcW w:w="8459" w:type="dxa"/>
            <w:tcBorders>
              <w:bottom w:val="single" w:sz="8" w:space="0" w:color="000000"/>
              <w:right w:val="single" w:sz="8" w:space="0" w:color="000000"/>
            </w:tcBorders>
            <w:tcMar>
              <w:top w:w="10" w:type="dxa"/>
              <w:left w:w="10" w:type="dxa"/>
              <w:bottom w:w="10" w:type="dxa"/>
              <w:right w:w="10" w:type="dxa"/>
            </w:tcMar>
          </w:tcPr>
          <w:p w:rsidR="0080594E" w:rsidRDefault="000C39A3">
            <w:pPr>
              <w:spacing w:before="21"/>
              <w:ind w:left="100"/>
              <w:jc w:val="both"/>
            </w:pPr>
            <w:r>
              <w:rPr>
                <w:rFonts w:ascii="宋体" w:hAnsi="宋体"/>
                <w:sz w:val="24"/>
              </w:rPr>
              <w:t>食品发酵、粉状物质的输送、冷却出炉食物等</w:t>
            </w:r>
          </w:p>
        </w:tc>
      </w:tr>
    </w:tbl>
    <w:p w:rsidR="0080594E" w:rsidRDefault="000C39A3">
      <w:pPr>
        <w:ind w:firstLine="479"/>
        <w:jc w:val="both"/>
      </w:pPr>
      <w:r>
        <w:rPr>
          <w:rFonts w:ascii="宋体" w:hAnsi="宋体"/>
          <w:sz w:val="24"/>
        </w:rPr>
        <w:t>各行业常见应用，以图形形式举例如下：</w:t>
      </w:r>
    </w:p>
    <w:tbl>
      <w:tblPr>
        <w:tblStyle w:val="a3"/>
        <w:tblW w:w="0" w:type="auto"/>
        <w:tblCellMar>
          <w:left w:w="0" w:type="dxa"/>
          <w:right w:w="0" w:type="dxa"/>
        </w:tblCellMar>
        <w:tblLook w:val="04A0" w:firstRow="1" w:lastRow="0" w:firstColumn="1" w:lastColumn="0" w:noHBand="0" w:noVBand="1"/>
      </w:tblPr>
      <w:tblGrid>
        <w:gridCol w:w="1477"/>
        <w:gridCol w:w="3547"/>
        <w:gridCol w:w="1222"/>
        <w:gridCol w:w="3411"/>
      </w:tblGrid>
      <w:tr w:rsidR="0080594E">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left="172"/>
              <w:jc w:val="center"/>
            </w:pPr>
            <w:r>
              <w:rPr>
                <w:rFonts w:ascii="宋体" w:hAnsi="宋体"/>
                <w:b/>
                <w:sz w:val="24"/>
              </w:rPr>
              <w:t>行业类别</w:t>
            </w:r>
          </w:p>
        </w:tc>
        <w:tc>
          <w:tcPr>
            <w:tcW w:w="3562"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left="106"/>
              <w:jc w:val="center"/>
            </w:pPr>
            <w:r>
              <w:rPr>
                <w:rFonts w:ascii="宋体" w:hAnsi="宋体"/>
                <w:b/>
                <w:sz w:val="24"/>
              </w:rPr>
              <w:t>应用图示</w:t>
            </w:r>
          </w:p>
        </w:tc>
        <w:tc>
          <w:tcPr>
            <w:tcW w:w="1257"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left="143"/>
              <w:jc w:val="center"/>
            </w:pPr>
            <w:r>
              <w:rPr>
                <w:rFonts w:ascii="宋体" w:hAnsi="宋体"/>
                <w:b/>
                <w:sz w:val="24"/>
              </w:rPr>
              <w:t>行业类别</w:t>
            </w:r>
          </w:p>
        </w:tc>
        <w:tc>
          <w:tcPr>
            <w:tcW w:w="3423"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left="96"/>
              <w:jc w:val="center"/>
            </w:pPr>
            <w:r>
              <w:rPr>
                <w:rFonts w:ascii="宋体" w:hAnsi="宋体"/>
                <w:b/>
                <w:sz w:val="24"/>
              </w:rPr>
              <w:t>应用图示</w:t>
            </w:r>
          </w:p>
        </w:tc>
      </w:tr>
      <w:tr w:rsidR="0080594E">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left="278" w:right="151"/>
              <w:jc w:val="center"/>
            </w:pPr>
            <w:r>
              <w:rPr>
                <w:rFonts w:ascii="宋体" w:hAnsi="宋体"/>
                <w:sz w:val="24"/>
              </w:rPr>
              <w:t>集成电路</w:t>
            </w:r>
          </w:p>
        </w:tc>
        <w:tc>
          <w:tcPr>
            <w:tcW w:w="3562"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ind w:right="67"/>
              <w:jc w:val="center"/>
            </w:pPr>
            <w:r>
              <w:rPr>
                <w:rFonts w:ascii="Times New Roman" w:hAnsi="Times New Roman"/>
                <w:sz w:val="24"/>
              </w:rPr>
              <w:t xml:space="preserve"> </w:t>
            </w:r>
            <w:r>
              <w:rPr>
                <w:noProof/>
              </w:rPr>
              <w:drawing>
                <wp:inline distT="0" distB="0" distL="0" distR="0">
                  <wp:extent cx="1962150" cy="1181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9"/>
                          <a:srcRect/>
                          <a:stretch>
                            <a:fillRect/>
                          </a:stretch>
                        </pic:blipFill>
                        <pic:spPr bwMode="auto">
                          <a:xfrm>
                            <a:off x="0" y="0"/>
                            <a:ext cx="1962150" cy="1181100"/>
                          </a:xfrm>
                          <a:prstGeom prst="rect">
                            <a:avLst/>
                          </a:prstGeom>
                        </pic:spPr>
                      </pic:pic>
                    </a:graphicData>
                  </a:graphic>
                </wp:inline>
              </w:drawing>
            </w:r>
            <w:r>
              <w:rPr>
                <w:rFonts w:ascii="Times New Roman" w:hAnsi="Times New Roman"/>
                <w:sz w:val="24"/>
              </w:rPr>
              <w:t> </w:t>
            </w:r>
          </w:p>
        </w:tc>
        <w:tc>
          <w:tcPr>
            <w:tcW w:w="125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ind w:left="248" w:right="142"/>
              <w:jc w:val="center"/>
            </w:pPr>
            <w:r>
              <w:rPr>
                <w:rFonts w:ascii="宋体" w:hAnsi="宋体"/>
                <w:sz w:val="24"/>
              </w:rPr>
              <w:t>新能源</w:t>
            </w:r>
          </w:p>
        </w:tc>
        <w:tc>
          <w:tcPr>
            <w:tcW w:w="342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spacing w:before="56"/>
              <w:ind w:right="2"/>
              <w:jc w:val="center"/>
            </w:pPr>
            <w:r>
              <w:rPr>
                <w:noProof/>
              </w:rPr>
              <w:drawing>
                <wp:inline distT="0" distB="0" distL="0" distR="0">
                  <wp:extent cx="1962150" cy="12382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10"/>
                          <a:srcRect/>
                          <a:stretch>
                            <a:fillRect/>
                          </a:stretch>
                        </pic:blipFill>
                        <pic:spPr bwMode="auto">
                          <a:xfrm>
                            <a:off x="0" y="0"/>
                            <a:ext cx="1962150" cy="1238250"/>
                          </a:xfrm>
                          <a:prstGeom prst="rect">
                            <a:avLst/>
                          </a:prstGeom>
                        </pic:spPr>
                      </pic:pic>
                    </a:graphicData>
                  </a:graphic>
                </wp:inline>
              </w:drawing>
            </w:r>
            <w:r>
              <w:rPr>
                <w:rFonts w:ascii="Times New Roman" w:hAnsi="Times New Roman"/>
                <w:sz w:val="24"/>
              </w:rPr>
              <w:t xml:space="preserve">  </w:t>
            </w:r>
          </w:p>
        </w:tc>
      </w:tr>
      <w:tr w:rsidR="0080594E">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right="48"/>
              <w:jc w:val="center"/>
            </w:pPr>
            <w:r>
              <w:rPr>
                <w:rFonts w:ascii="宋体" w:hAnsi="宋体"/>
                <w:sz w:val="24"/>
              </w:rPr>
              <w:t>装备行业</w:t>
            </w:r>
          </w:p>
        </w:tc>
        <w:tc>
          <w:tcPr>
            <w:tcW w:w="3562"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xml:space="preserve"> </w:t>
            </w:r>
            <w:r>
              <w:rPr>
                <w:noProof/>
              </w:rPr>
              <w:drawing>
                <wp:inline distT="0" distB="0" distL="0" distR="0">
                  <wp:extent cx="1952624" cy="11049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1"/>
                          <a:srcRect/>
                          <a:stretch>
                            <a:fillRect/>
                          </a:stretch>
                        </pic:blipFill>
                        <pic:spPr bwMode="auto">
                          <a:xfrm>
                            <a:off x="0" y="0"/>
                            <a:ext cx="1952624" cy="1104900"/>
                          </a:xfrm>
                          <a:prstGeom prst="rect">
                            <a:avLst/>
                          </a:prstGeom>
                        </pic:spPr>
                      </pic:pic>
                    </a:graphicData>
                  </a:graphic>
                </wp:inline>
              </w:drawing>
            </w:r>
            <w:r>
              <w:rPr>
                <w:rFonts w:ascii="Times New Roman" w:hAnsi="Times New Roman"/>
                <w:sz w:val="24"/>
              </w:rPr>
              <w:t> </w:t>
            </w:r>
          </w:p>
        </w:tc>
        <w:tc>
          <w:tcPr>
            <w:tcW w:w="125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ind w:left="143" w:right="38"/>
              <w:jc w:val="center"/>
            </w:pPr>
            <w:r>
              <w:rPr>
                <w:rFonts w:ascii="宋体" w:hAnsi="宋体"/>
                <w:sz w:val="24"/>
              </w:rPr>
              <w:t>汽车行业</w:t>
            </w:r>
          </w:p>
        </w:tc>
        <w:tc>
          <w:tcPr>
            <w:tcW w:w="342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spacing w:before="53"/>
              <w:ind w:right="33"/>
              <w:jc w:val="center"/>
            </w:pPr>
            <w:r>
              <w:rPr>
                <w:noProof/>
              </w:rPr>
              <w:drawing>
                <wp:inline distT="0" distB="0" distL="0" distR="0">
                  <wp:extent cx="1952624" cy="11525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noChangeArrowheads="1"/>
                          </pic:cNvPicPr>
                        </pic:nvPicPr>
                        <pic:blipFill>
                          <a:blip r:embed="rId12"/>
                          <a:srcRect/>
                          <a:stretch>
                            <a:fillRect/>
                          </a:stretch>
                        </pic:blipFill>
                        <pic:spPr bwMode="auto">
                          <a:xfrm>
                            <a:off x="0" y="0"/>
                            <a:ext cx="1952624" cy="1152525"/>
                          </a:xfrm>
                          <a:prstGeom prst="rect">
                            <a:avLst/>
                          </a:prstGeom>
                        </pic:spPr>
                      </pic:pic>
                    </a:graphicData>
                  </a:graphic>
                </wp:inline>
              </w:drawing>
            </w:r>
            <w:r>
              <w:rPr>
                <w:rFonts w:ascii="Times New Roman" w:hAnsi="Times New Roman"/>
                <w:sz w:val="24"/>
              </w:rPr>
              <w:t xml:space="preserve">  </w:t>
            </w:r>
          </w:p>
        </w:tc>
      </w:tr>
      <w:tr w:rsidR="0080594E">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right="48"/>
              <w:jc w:val="center"/>
            </w:pPr>
            <w:r>
              <w:rPr>
                <w:rFonts w:ascii="宋体" w:hAnsi="宋体"/>
                <w:sz w:val="24"/>
              </w:rPr>
              <w:lastRenderedPageBreak/>
              <w:t>冶金行业</w:t>
            </w:r>
          </w:p>
        </w:tc>
        <w:tc>
          <w:tcPr>
            <w:tcW w:w="3562"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xml:space="preserve"> </w:t>
            </w:r>
            <w:r>
              <w:rPr>
                <w:noProof/>
              </w:rPr>
              <w:drawing>
                <wp:inline distT="0" distB="0" distL="0" distR="0">
                  <wp:extent cx="1971675" cy="13239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3"/>
                          <a:srcRect/>
                          <a:stretch>
                            <a:fillRect/>
                          </a:stretch>
                        </pic:blipFill>
                        <pic:spPr bwMode="auto">
                          <a:xfrm>
                            <a:off x="0" y="0"/>
                            <a:ext cx="1971675" cy="1323975"/>
                          </a:xfrm>
                          <a:prstGeom prst="rect">
                            <a:avLst/>
                          </a:prstGeom>
                        </pic:spPr>
                      </pic:pic>
                    </a:graphicData>
                  </a:graphic>
                </wp:inline>
              </w:drawing>
            </w:r>
            <w:r>
              <w:rPr>
                <w:rFonts w:ascii="Times New Roman" w:hAnsi="Times New Roman"/>
                <w:sz w:val="24"/>
              </w:rPr>
              <w:t> </w:t>
            </w:r>
          </w:p>
        </w:tc>
        <w:tc>
          <w:tcPr>
            <w:tcW w:w="125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ind w:right="38"/>
              <w:jc w:val="center"/>
            </w:pPr>
            <w:r>
              <w:rPr>
                <w:rFonts w:ascii="宋体" w:hAnsi="宋体"/>
                <w:sz w:val="24"/>
              </w:rPr>
              <w:t>电力行业</w:t>
            </w:r>
          </w:p>
        </w:tc>
        <w:tc>
          <w:tcPr>
            <w:tcW w:w="342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spacing w:before="12"/>
              <w:ind w:right="55"/>
              <w:jc w:val="center"/>
            </w:pPr>
            <w:r>
              <w:rPr>
                <w:rFonts w:ascii="Times New Roman" w:hAnsi="Times New Roman"/>
                <w:sz w:val="24"/>
              </w:rPr>
              <w:t xml:space="preserve"> </w:t>
            </w:r>
            <w:r>
              <w:rPr>
                <w:noProof/>
              </w:rPr>
              <w:drawing>
                <wp:inline distT="0" distB="0" distL="0" distR="0">
                  <wp:extent cx="1933575" cy="13335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a:picLocks noChangeAspect="1" noChangeArrowheads="1"/>
                          </pic:cNvPicPr>
                        </pic:nvPicPr>
                        <pic:blipFill>
                          <a:blip r:embed="rId14"/>
                          <a:srcRect/>
                          <a:stretch>
                            <a:fillRect/>
                          </a:stretch>
                        </pic:blipFill>
                        <pic:spPr bwMode="auto">
                          <a:xfrm>
                            <a:off x="0" y="0"/>
                            <a:ext cx="1933575" cy="1333500"/>
                          </a:xfrm>
                          <a:prstGeom prst="rect">
                            <a:avLst/>
                          </a:prstGeom>
                        </pic:spPr>
                      </pic:pic>
                    </a:graphicData>
                  </a:graphic>
                </wp:inline>
              </w:drawing>
            </w:r>
            <w:r>
              <w:rPr>
                <w:rFonts w:ascii="Times New Roman" w:hAnsi="Times New Roman"/>
                <w:sz w:val="24"/>
              </w:rPr>
              <w:t> </w:t>
            </w:r>
          </w:p>
        </w:tc>
      </w:tr>
      <w:tr w:rsidR="0080594E">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right="48"/>
              <w:jc w:val="center"/>
            </w:pPr>
            <w:r>
              <w:rPr>
                <w:rFonts w:ascii="宋体" w:hAnsi="宋体"/>
                <w:sz w:val="24"/>
              </w:rPr>
              <w:t>电子行业</w:t>
            </w:r>
          </w:p>
        </w:tc>
        <w:tc>
          <w:tcPr>
            <w:tcW w:w="3562"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xml:space="preserve"> </w:t>
            </w:r>
            <w:r>
              <w:rPr>
                <w:noProof/>
              </w:rPr>
              <w:drawing>
                <wp:inline distT="0" distB="0" distL="0" distR="0">
                  <wp:extent cx="2028825" cy="12287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5"/>
                          <a:srcRect/>
                          <a:stretch>
                            <a:fillRect/>
                          </a:stretch>
                        </pic:blipFill>
                        <pic:spPr bwMode="auto">
                          <a:xfrm>
                            <a:off x="0" y="0"/>
                            <a:ext cx="2028825" cy="1228725"/>
                          </a:xfrm>
                          <a:prstGeom prst="rect">
                            <a:avLst/>
                          </a:prstGeom>
                        </pic:spPr>
                      </pic:pic>
                    </a:graphicData>
                  </a:graphic>
                </wp:inline>
              </w:drawing>
            </w:r>
            <w:r>
              <w:rPr>
                <w:rFonts w:ascii="Times New Roman" w:hAnsi="Times New Roman"/>
                <w:sz w:val="24"/>
              </w:rPr>
              <w:t> </w:t>
            </w:r>
          </w:p>
        </w:tc>
        <w:tc>
          <w:tcPr>
            <w:tcW w:w="125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ind w:right="38"/>
              <w:jc w:val="center"/>
            </w:pPr>
            <w:r>
              <w:rPr>
                <w:rFonts w:ascii="宋体" w:hAnsi="宋体"/>
                <w:sz w:val="24"/>
              </w:rPr>
              <w:t>纺织行业</w:t>
            </w:r>
          </w:p>
        </w:tc>
        <w:tc>
          <w:tcPr>
            <w:tcW w:w="342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spacing w:before="12"/>
              <w:ind w:right="55"/>
              <w:jc w:val="center"/>
            </w:pPr>
            <w:r>
              <w:rPr>
                <w:noProof/>
              </w:rPr>
              <w:drawing>
                <wp:inline distT="0" distB="0" distL="0" distR="0">
                  <wp:extent cx="1914525" cy="12763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noChangeArrowheads="1"/>
                          </pic:cNvPicPr>
                        </pic:nvPicPr>
                        <pic:blipFill>
                          <a:blip r:embed="rId16"/>
                          <a:srcRect/>
                          <a:stretch>
                            <a:fillRect/>
                          </a:stretch>
                        </pic:blipFill>
                        <pic:spPr bwMode="auto">
                          <a:xfrm>
                            <a:off x="0" y="0"/>
                            <a:ext cx="1914525" cy="1276350"/>
                          </a:xfrm>
                          <a:prstGeom prst="rect">
                            <a:avLst/>
                          </a:prstGeom>
                        </pic:spPr>
                      </pic:pic>
                    </a:graphicData>
                  </a:graphic>
                </wp:inline>
              </w:drawing>
            </w:r>
            <w:r>
              <w:rPr>
                <w:rFonts w:ascii="Times New Roman" w:hAnsi="Times New Roman"/>
                <w:sz w:val="24"/>
              </w:rPr>
              <w:t xml:space="preserve">  </w:t>
            </w:r>
          </w:p>
        </w:tc>
      </w:tr>
      <w:tr w:rsidR="0080594E">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right="48"/>
              <w:jc w:val="center"/>
            </w:pPr>
            <w:r>
              <w:rPr>
                <w:rFonts w:ascii="宋体" w:hAnsi="宋体"/>
                <w:sz w:val="24"/>
              </w:rPr>
              <w:t>食品饮料</w:t>
            </w:r>
          </w:p>
        </w:tc>
        <w:tc>
          <w:tcPr>
            <w:tcW w:w="3562"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xml:space="preserve"> </w:t>
            </w:r>
            <w:r>
              <w:rPr>
                <w:noProof/>
              </w:rPr>
              <w:drawing>
                <wp:inline distT="0" distB="0" distL="0" distR="0">
                  <wp:extent cx="2000250" cy="12096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7"/>
                          <a:srcRect/>
                          <a:stretch>
                            <a:fillRect/>
                          </a:stretch>
                        </pic:blipFill>
                        <pic:spPr bwMode="auto">
                          <a:xfrm>
                            <a:off x="0" y="0"/>
                            <a:ext cx="2000250" cy="1209675"/>
                          </a:xfrm>
                          <a:prstGeom prst="rect">
                            <a:avLst/>
                          </a:prstGeom>
                        </pic:spPr>
                      </pic:pic>
                    </a:graphicData>
                  </a:graphic>
                </wp:inline>
              </w:drawing>
            </w:r>
            <w:r>
              <w:rPr>
                <w:rFonts w:ascii="Times New Roman" w:hAnsi="Times New Roman"/>
                <w:sz w:val="24"/>
              </w:rPr>
              <w:t> </w:t>
            </w:r>
          </w:p>
        </w:tc>
        <w:tc>
          <w:tcPr>
            <w:tcW w:w="125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ind w:right="38"/>
              <w:jc w:val="center"/>
            </w:pPr>
            <w:r>
              <w:rPr>
                <w:rFonts w:ascii="宋体" w:hAnsi="宋体"/>
                <w:sz w:val="24"/>
              </w:rPr>
              <w:t>医疗行业</w:t>
            </w:r>
          </w:p>
        </w:tc>
        <w:tc>
          <w:tcPr>
            <w:tcW w:w="342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spacing w:before="12"/>
              <w:ind w:right="55"/>
              <w:jc w:val="center"/>
            </w:pPr>
            <w:r>
              <w:rPr>
                <w:noProof/>
              </w:rPr>
              <w:drawing>
                <wp:inline distT="0" distB="0" distL="0" distR="0">
                  <wp:extent cx="1943100" cy="11430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a:picLocks noChangeAspect="1" noChangeArrowheads="1"/>
                          </pic:cNvPicPr>
                        </pic:nvPicPr>
                        <pic:blipFill>
                          <a:blip r:embed="rId18"/>
                          <a:srcRect/>
                          <a:stretch>
                            <a:fillRect/>
                          </a:stretch>
                        </pic:blipFill>
                        <pic:spPr bwMode="auto">
                          <a:xfrm>
                            <a:off x="0" y="0"/>
                            <a:ext cx="1943100" cy="1143000"/>
                          </a:xfrm>
                          <a:prstGeom prst="rect">
                            <a:avLst/>
                          </a:prstGeom>
                        </pic:spPr>
                      </pic:pic>
                    </a:graphicData>
                  </a:graphic>
                </wp:inline>
              </w:drawing>
            </w:r>
            <w:r>
              <w:rPr>
                <w:rFonts w:ascii="Times New Roman" w:hAnsi="Times New Roman"/>
                <w:sz w:val="24"/>
              </w:rPr>
              <w:t xml:space="preserve">  </w:t>
            </w:r>
          </w:p>
        </w:tc>
      </w:tr>
    </w:tbl>
    <w:p w:rsidR="0080594E" w:rsidRDefault="000C39A3">
      <w:pPr>
        <w:ind w:firstLine="481"/>
        <w:jc w:val="both"/>
      </w:pPr>
      <w:r>
        <w:rPr>
          <w:rFonts w:ascii="宋体" w:hAnsi="宋体"/>
          <w:b/>
          <w:sz w:val="24"/>
        </w:rPr>
        <w:t>（</w:t>
      </w:r>
      <w:r>
        <w:rPr>
          <w:rFonts w:ascii="Times New Roman" w:hAnsi="Times New Roman"/>
          <w:b/>
          <w:sz w:val="24"/>
        </w:rPr>
        <w:t>2</w:t>
      </w:r>
      <w:r>
        <w:rPr>
          <w:rFonts w:ascii="宋体" w:hAnsi="宋体"/>
          <w:b/>
          <w:sz w:val="24"/>
        </w:rPr>
        <w:t>）公司主要产品介绍</w:t>
      </w:r>
    </w:p>
    <w:p w:rsidR="0080594E" w:rsidRDefault="000C39A3">
      <w:pPr>
        <w:ind w:firstLine="481"/>
        <w:jc w:val="both"/>
      </w:pPr>
      <w:r>
        <w:rPr>
          <w:rFonts w:ascii="Times New Roman" w:hAnsi="Times New Roman"/>
          <w:b/>
          <w:sz w:val="24"/>
        </w:rPr>
        <w:t>1</w:t>
      </w:r>
      <w:r>
        <w:rPr>
          <w:rFonts w:ascii="宋体" w:hAnsi="宋体"/>
          <w:b/>
          <w:sz w:val="24"/>
        </w:rPr>
        <w:t>、公司主营业务</w:t>
      </w:r>
    </w:p>
    <w:p w:rsidR="0080594E" w:rsidRDefault="000C39A3">
      <w:pPr>
        <w:ind w:firstLine="479"/>
        <w:jc w:val="both"/>
      </w:pPr>
      <w:r>
        <w:rPr>
          <w:rFonts w:ascii="宋体" w:hAnsi="宋体"/>
          <w:sz w:val="24"/>
        </w:rPr>
        <w:t>公司专注于提供节能、高效、稳定的空气动力，是以压缩机主机自主研发设计、生产为核心，并进行空气压缩机整机以及配套设备的研发、生产与销售的综合性压缩空气系统解决方案提供商。</w:t>
      </w:r>
    </w:p>
    <w:p w:rsidR="0080594E" w:rsidRDefault="000C39A3">
      <w:pPr>
        <w:ind w:firstLine="481"/>
        <w:jc w:val="both"/>
      </w:pPr>
      <w:r>
        <w:rPr>
          <w:rFonts w:ascii="Times New Roman" w:hAnsi="Times New Roman"/>
          <w:b/>
          <w:sz w:val="24"/>
        </w:rPr>
        <w:t>2</w:t>
      </w:r>
      <w:r>
        <w:rPr>
          <w:rFonts w:ascii="宋体" w:hAnsi="宋体"/>
          <w:b/>
          <w:sz w:val="24"/>
        </w:rPr>
        <w:t>、公司主要产品</w:t>
      </w:r>
    </w:p>
    <w:p w:rsidR="0080594E" w:rsidRDefault="000C39A3">
      <w:pPr>
        <w:ind w:firstLine="479"/>
        <w:jc w:val="both"/>
      </w:pPr>
      <w:r>
        <w:rPr>
          <w:rFonts w:ascii="宋体" w:hAnsi="宋体"/>
          <w:sz w:val="24"/>
        </w:rPr>
        <w:t>公司经过</w:t>
      </w:r>
      <w:r>
        <w:rPr>
          <w:rFonts w:ascii="Times New Roman" w:hAnsi="Times New Roman"/>
          <w:sz w:val="24"/>
        </w:rPr>
        <w:t>30</w:t>
      </w:r>
      <w:r>
        <w:rPr>
          <w:rFonts w:ascii="宋体" w:hAnsi="宋体"/>
          <w:sz w:val="24"/>
        </w:rPr>
        <w:t>多年的专业化生产制造，培育出旗下优质空气压缩机品牌</w:t>
      </w:r>
      <w:r>
        <w:rPr>
          <w:rFonts w:ascii="Times New Roman" w:hAnsi="Times New Roman"/>
          <w:sz w:val="24"/>
        </w:rPr>
        <w:t>“</w:t>
      </w:r>
      <w:r>
        <w:rPr>
          <w:rFonts w:ascii="宋体" w:hAnsi="宋体"/>
          <w:sz w:val="24"/>
        </w:rPr>
        <w:t>捷豹</w:t>
      </w:r>
      <w:r>
        <w:rPr>
          <w:rFonts w:ascii="Times New Roman" w:hAnsi="Times New Roman"/>
          <w:sz w:val="24"/>
        </w:rPr>
        <w:t xml:space="preserve"> JAGUAR”</w:t>
      </w:r>
      <w:r>
        <w:rPr>
          <w:rFonts w:ascii="宋体" w:hAnsi="宋体"/>
          <w:sz w:val="24"/>
        </w:rPr>
        <w:t>，产品包括螺杆式压缩机、真空泵、离心式压缩机、无油式压缩机、活塞式压缩机等系列以及干燥机等相关配套设备及配件。产品广泛应用于装备制造、汽车、半导体、光伏、锂电、冶金、电力、电子、</w:t>
      </w:r>
      <w:r>
        <w:rPr>
          <w:rFonts w:ascii="Times New Roman" w:hAnsi="Times New Roman"/>
          <w:sz w:val="24"/>
        </w:rPr>
        <w:t xml:space="preserve"> </w:t>
      </w:r>
      <w:r>
        <w:rPr>
          <w:rFonts w:ascii="宋体" w:hAnsi="宋体"/>
          <w:sz w:val="24"/>
        </w:rPr>
        <w:t>医疗、纺织、生物发酵等行业领域。公司主要产品类型展示如下：</w:t>
      </w:r>
    </w:p>
    <w:p w:rsidR="0080594E" w:rsidRDefault="000C39A3">
      <w:pPr>
        <w:ind w:firstLine="481"/>
        <w:jc w:val="both"/>
      </w:pPr>
      <w:r>
        <w:rPr>
          <w:rFonts w:ascii="宋体" w:hAnsi="宋体"/>
          <w:b/>
          <w:sz w:val="24"/>
        </w:rPr>
        <w:t>①无油螺杆式空气压缩机系列</w:t>
      </w:r>
    </w:p>
    <w:tbl>
      <w:tblPr>
        <w:tblStyle w:val="a3"/>
        <w:tblW w:w="9657" w:type="dxa"/>
        <w:tblCellMar>
          <w:left w:w="0" w:type="dxa"/>
          <w:right w:w="0" w:type="dxa"/>
        </w:tblCellMar>
        <w:tblLook w:val="04A0" w:firstRow="1" w:lastRow="0" w:firstColumn="1" w:lastColumn="0" w:noHBand="0" w:noVBand="1"/>
      </w:tblPr>
      <w:tblGrid>
        <w:gridCol w:w="1615"/>
        <w:gridCol w:w="4619"/>
        <w:gridCol w:w="1698"/>
        <w:gridCol w:w="1725"/>
      </w:tblGrid>
      <w:tr w:rsidR="0080594E">
        <w:tc>
          <w:tcPr>
            <w:tcW w:w="1615"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产品品类</w:t>
            </w:r>
          </w:p>
        </w:tc>
        <w:tc>
          <w:tcPr>
            <w:tcW w:w="4619"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产品外观结构</w:t>
            </w:r>
          </w:p>
        </w:tc>
        <w:tc>
          <w:tcPr>
            <w:tcW w:w="1698"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产品性能</w:t>
            </w:r>
          </w:p>
        </w:tc>
        <w:tc>
          <w:tcPr>
            <w:tcW w:w="1725"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应用领域</w:t>
            </w:r>
          </w:p>
        </w:tc>
      </w:tr>
      <w:tr w:rsidR="0080594E">
        <w:tc>
          <w:tcPr>
            <w:tcW w:w="161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无油干式螺杆空气压缩机</w:t>
            </w:r>
          </w:p>
        </w:tc>
        <w:tc>
          <w:tcPr>
            <w:tcW w:w="461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 </w:t>
            </w:r>
            <w:r>
              <w:rPr>
                <w:noProof/>
              </w:rPr>
              <w:drawing>
                <wp:inline distT="0" distB="0" distL="0" distR="0">
                  <wp:extent cx="2242268" cy="2102126"/>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9"/>
                          <a:srcRect/>
                          <a:stretch>
                            <a:fillRect/>
                          </a:stretch>
                        </pic:blipFill>
                        <pic:spPr bwMode="auto">
                          <a:xfrm>
                            <a:off x="0" y="0"/>
                            <a:ext cx="2242268" cy="2102126"/>
                          </a:xfrm>
                          <a:prstGeom prst="rect">
                            <a:avLst/>
                          </a:prstGeom>
                        </pic:spPr>
                      </pic:pic>
                    </a:graphicData>
                  </a:graphic>
                </wp:inline>
              </w:drawing>
            </w:r>
            <w:r>
              <w:rPr>
                <w:rFonts w:ascii="宋体" w:hAnsi="宋体"/>
                <w:sz w:val="24"/>
              </w:rPr>
              <w:t> </w:t>
            </w:r>
          </w:p>
        </w:tc>
        <w:tc>
          <w:tcPr>
            <w:tcW w:w="1698"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color w:val="333333"/>
                <w:sz w:val="24"/>
              </w:rPr>
              <w:t>压缩过程完全无油，产出清洁无油的压缩空气；转速高，制造、装配精度高、气密性高。</w:t>
            </w:r>
          </w:p>
        </w:tc>
        <w:tc>
          <w:tcPr>
            <w:tcW w:w="1725"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新能源、集成电路SA-CVD、PE—CVD、医疗、食品、等对空气清洁度极高的行业领域</w:t>
            </w:r>
          </w:p>
        </w:tc>
      </w:tr>
      <w:tr w:rsidR="0080594E">
        <w:tc>
          <w:tcPr>
            <w:tcW w:w="161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lastRenderedPageBreak/>
              <w:t>无油水润滑螺杆空气压缩机</w:t>
            </w:r>
          </w:p>
        </w:tc>
        <w:tc>
          <w:tcPr>
            <w:tcW w:w="461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noProof/>
              </w:rPr>
              <w:drawing>
                <wp:inline distT="0" distB="0" distL="0" distR="0">
                  <wp:extent cx="2223632" cy="1610216"/>
                  <wp:effectExtent l="0" t="0" r="571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a:picLocks noChangeAspect="1" noChangeArrowheads="1"/>
                          </pic:cNvPicPr>
                        </pic:nvPicPr>
                        <pic:blipFill>
                          <a:blip r:embed="rId20"/>
                          <a:srcRect/>
                          <a:stretch>
                            <a:fillRect/>
                          </a:stretch>
                        </pic:blipFill>
                        <pic:spPr bwMode="auto">
                          <a:xfrm>
                            <a:off x="0" y="0"/>
                            <a:ext cx="2229546" cy="1614498"/>
                          </a:xfrm>
                          <a:prstGeom prst="rect">
                            <a:avLst/>
                          </a:prstGeom>
                        </pic:spPr>
                      </pic:pic>
                    </a:graphicData>
                  </a:graphic>
                </wp:inline>
              </w:drawing>
            </w:r>
            <w:r>
              <w:rPr>
                <w:rFonts w:ascii="宋体" w:hAnsi="宋体"/>
                <w:sz w:val="24"/>
              </w:rPr>
              <w:t xml:space="preserve">  </w:t>
            </w:r>
          </w:p>
        </w:tc>
        <w:tc>
          <w:tcPr>
            <w:tcW w:w="1698"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color w:val="333333"/>
                <w:sz w:val="24"/>
              </w:rPr>
              <w:t>压缩过程完全无油，产出清洁无油的压缩空气；转速高，制造、装配精度高、气密性高。</w:t>
            </w:r>
          </w:p>
        </w:tc>
        <w:tc>
          <w:tcPr>
            <w:tcW w:w="1725"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新能源、集成电路SA-CVD、PE—CVD、医疗、食品、等对空气清洁度极高的行业领域</w:t>
            </w:r>
          </w:p>
        </w:tc>
      </w:tr>
      <w:tr w:rsidR="0080594E">
        <w:tc>
          <w:tcPr>
            <w:tcW w:w="161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无油螺杆鼓风机</w:t>
            </w:r>
          </w:p>
        </w:tc>
        <w:tc>
          <w:tcPr>
            <w:tcW w:w="461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2276475" cy="19335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1"/>
                          <a:srcRect/>
                          <a:stretch>
                            <a:fillRect/>
                          </a:stretch>
                        </pic:blipFill>
                        <pic:spPr bwMode="auto">
                          <a:xfrm>
                            <a:off x="0" y="0"/>
                            <a:ext cx="2276475" cy="1933575"/>
                          </a:xfrm>
                          <a:prstGeom prst="rect">
                            <a:avLst/>
                          </a:prstGeom>
                        </pic:spPr>
                      </pic:pic>
                    </a:graphicData>
                  </a:graphic>
                </wp:inline>
              </w:drawing>
            </w:r>
            <w:r>
              <w:rPr>
                <w:rFonts w:ascii="Times New Roman" w:hAnsi="Times New Roman"/>
                <w:sz w:val="24"/>
              </w:rPr>
              <w:t> </w:t>
            </w:r>
          </w:p>
        </w:tc>
        <w:tc>
          <w:tcPr>
            <w:tcW w:w="1698"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采用无油螺杆机头，适用于各种定压工况。</w:t>
            </w:r>
          </w:p>
        </w:tc>
        <w:tc>
          <w:tcPr>
            <w:tcW w:w="1725"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水泥厂、化工、食品、生物制药等行业领域。</w:t>
            </w:r>
          </w:p>
        </w:tc>
      </w:tr>
      <w:tr w:rsidR="0080594E">
        <w:tc>
          <w:tcPr>
            <w:tcW w:w="1615"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80594E" w:rsidRDefault="000C39A3">
            <w:pPr>
              <w:jc w:val="center"/>
            </w:pPr>
            <w:r>
              <w:rPr>
                <w:rFonts w:ascii="宋体" w:hAnsi="宋体"/>
                <w:sz w:val="24"/>
              </w:rPr>
              <w:t>涡旋空气压缩机</w:t>
            </w:r>
          </w:p>
        </w:tc>
        <w:tc>
          <w:tcPr>
            <w:tcW w:w="4619" w:type="dxa"/>
            <w:tcBorders>
              <w:bottom w:val="single" w:sz="8" w:space="0" w:color="000000"/>
              <w:right w:val="single" w:sz="8" w:space="0" w:color="000000"/>
            </w:tcBorders>
            <w:tcMar>
              <w:top w:w="0" w:type="dxa"/>
              <w:left w:w="0" w:type="dxa"/>
              <w:bottom w:w="0" w:type="dxa"/>
              <w:right w:w="0" w:type="dxa"/>
            </w:tcMar>
            <w:vAlign w:val="center"/>
          </w:tcPr>
          <w:p w:rsidR="0080594E" w:rsidRDefault="000C39A3">
            <w:pPr>
              <w:jc w:val="center"/>
            </w:pPr>
            <w:r>
              <w:rPr>
                <w:rFonts w:ascii="Times New Roman" w:hAnsi="Times New Roman"/>
                <w:sz w:val="24"/>
              </w:rPr>
              <w:t> </w:t>
            </w:r>
            <w:r>
              <w:rPr>
                <w:noProof/>
              </w:rPr>
              <w:drawing>
                <wp:inline distT="0" distB="0" distL="0" distR="0">
                  <wp:extent cx="2257425" cy="19907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a:picLocks noChangeAspect="1" noChangeArrowheads="1"/>
                          </pic:cNvPicPr>
                        </pic:nvPicPr>
                        <pic:blipFill>
                          <a:blip r:embed="rId22"/>
                          <a:srcRect/>
                          <a:stretch>
                            <a:fillRect/>
                          </a:stretch>
                        </pic:blipFill>
                        <pic:spPr bwMode="auto">
                          <a:xfrm>
                            <a:off x="0" y="0"/>
                            <a:ext cx="2257425" cy="1990725"/>
                          </a:xfrm>
                          <a:prstGeom prst="rect">
                            <a:avLst/>
                          </a:prstGeom>
                        </pic:spPr>
                      </pic:pic>
                    </a:graphicData>
                  </a:graphic>
                </wp:inline>
              </w:drawing>
            </w:r>
            <w:r>
              <w:rPr>
                <w:rFonts w:ascii="Times New Roman" w:hAnsi="Times New Roman"/>
                <w:sz w:val="24"/>
              </w:rPr>
              <w:t> </w:t>
            </w:r>
          </w:p>
        </w:tc>
        <w:tc>
          <w:tcPr>
            <w:tcW w:w="1698" w:type="dxa"/>
            <w:tcBorders>
              <w:bottom w:val="single" w:sz="8" w:space="0" w:color="000000"/>
              <w:right w:val="single" w:sz="8" w:space="0" w:color="000000"/>
            </w:tcBorders>
            <w:tcMar>
              <w:top w:w="0" w:type="dxa"/>
              <w:left w:w="0" w:type="dxa"/>
              <w:bottom w:w="0" w:type="dxa"/>
              <w:right w:w="0" w:type="dxa"/>
            </w:tcMar>
            <w:vAlign w:val="center"/>
          </w:tcPr>
          <w:p w:rsidR="0080594E" w:rsidRDefault="000C39A3">
            <w:pPr>
              <w:jc w:val="both"/>
            </w:pPr>
            <w:r>
              <w:rPr>
                <w:rFonts w:ascii="宋体" w:hAnsi="宋体"/>
                <w:sz w:val="24"/>
              </w:rPr>
              <w:t>洁净无油，极致静音。</w:t>
            </w:r>
          </w:p>
        </w:tc>
        <w:tc>
          <w:tcPr>
            <w:tcW w:w="1725" w:type="dxa"/>
            <w:tcBorders>
              <w:bottom w:val="single" w:sz="8" w:space="0" w:color="000000"/>
              <w:right w:val="single" w:sz="8" w:space="0" w:color="000000"/>
            </w:tcBorders>
            <w:tcMar>
              <w:top w:w="0" w:type="dxa"/>
              <w:left w:w="0" w:type="dxa"/>
              <w:bottom w:w="0" w:type="dxa"/>
              <w:right w:w="0" w:type="dxa"/>
            </w:tcMar>
            <w:vAlign w:val="center"/>
          </w:tcPr>
          <w:p w:rsidR="0080594E" w:rsidRDefault="000C39A3">
            <w:pPr>
              <w:jc w:val="both"/>
            </w:pPr>
            <w:r>
              <w:rPr>
                <w:rFonts w:ascii="宋体" w:hAnsi="宋体"/>
                <w:sz w:val="24"/>
              </w:rPr>
              <w:t>实验室、医院等场所，精密电子、食品饮料等行业。</w:t>
            </w:r>
          </w:p>
        </w:tc>
      </w:tr>
    </w:tbl>
    <w:p w:rsidR="0080594E" w:rsidRDefault="000C39A3">
      <w:pPr>
        <w:ind w:firstLine="481"/>
        <w:jc w:val="both"/>
      </w:pPr>
      <w:r>
        <w:rPr>
          <w:rFonts w:ascii="宋体" w:hAnsi="宋体"/>
          <w:b/>
          <w:sz w:val="24"/>
        </w:rPr>
        <w:t>②螺杆式压缩机系列</w:t>
      </w:r>
      <w:r>
        <w:rPr>
          <w:rFonts w:ascii="Times New Roman" w:hAnsi="Times New Roman"/>
          <w:b/>
          <w:sz w:val="24"/>
        </w:rPr>
        <w:t xml:space="preserve"> </w:t>
      </w:r>
    </w:p>
    <w:p w:rsidR="0080594E" w:rsidRDefault="000C39A3">
      <w:pPr>
        <w:ind w:firstLine="479"/>
        <w:jc w:val="both"/>
      </w:pPr>
      <w:r>
        <w:rPr>
          <w:rFonts w:ascii="宋体" w:hAnsi="宋体"/>
          <w:sz w:val="24"/>
        </w:rPr>
        <w:t>公司螺杆式空气压缩机以永磁变频螺杆空压机为主，具有高可靠性、高能效以及噪音小等特点。</w:t>
      </w:r>
    </w:p>
    <w:p w:rsidR="0080594E" w:rsidRDefault="000C39A3">
      <w:pPr>
        <w:ind w:firstLine="479"/>
        <w:jc w:val="both"/>
      </w:pPr>
      <w:r>
        <w:rPr>
          <w:rFonts w:ascii="Times New Roman" w:hAnsi="Times New Roman"/>
          <w:b/>
          <w:sz w:val="24"/>
        </w:rPr>
        <w:t> </w:t>
      </w:r>
    </w:p>
    <w:tbl>
      <w:tblPr>
        <w:tblStyle w:val="a3"/>
        <w:tblW w:w="0" w:type="auto"/>
        <w:tblLayout w:type="fixed"/>
        <w:tblCellMar>
          <w:left w:w="0" w:type="dxa"/>
          <w:right w:w="0" w:type="dxa"/>
        </w:tblCellMar>
        <w:tblLook w:val="04A0" w:firstRow="1" w:lastRow="0" w:firstColumn="1" w:lastColumn="0" w:noHBand="0" w:noVBand="1"/>
      </w:tblPr>
      <w:tblGrid>
        <w:gridCol w:w="1570"/>
        <w:gridCol w:w="4677"/>
        <w:gridCol w:w="1701"/>
        <w:gridCol w:w="1709"/>
      </w:tblGrid>
      <w:tr w:rsidR="0080594E" w:rsidTr="003A05C1">
        <w:tc>
          <w:tcPr>
            <w:tcW w:w="157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产品品类</w:t>
            </w:r>
          </w:p>
        </w:tc>
        <w:tc>
          <w:tcPr>
            <w:tcW w:w="4677"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产品外观结构</w:t>
            </w:r>
          </w:p>
        </w:tc>
        <w:tc>
          <w:tcPr>
            <w:tcW w:w="1701"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产品性能</w:t>
            </w:r>
          </w:p>
        </w:tc>
        <w:tc>
          <w:tcPr>
            <w:tcW w:w="1709"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应用领域</w:t>
            </w:r>
          </w:p>
        </w:tc>
      </w:tr>
      <w:tr w:rsidR="0080594E" w:rsidTr="003A05C1">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二级压缩永磁变频螺杆空气压缩机（ZLS-2iC系列）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noProof/>
              </w:rPr>
              <w:drawing>
                <wp:inline distT="0" distB="0" distL="0" distR="0">
                  <wp:extent cx="1852654" cy="1559713"/>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3"/>
                          <a:srcRect/>
                          <a:stretch>
                            <a:fillRect/>
                          </a:stretch>
                        </pic:blipFill>
                        <pic:spPr bwMode="auto">
                          <a:xfrm>
                            <a:off x="0" y="0"/>
                            <a:ext cx="1859682" cy="1565630"/>
                          </a:xfrm>
                          <a:prstGeom prst="rect">
                            <a:avLst/>
                          </a:prstGeom>
                        </pic:spPr>
                      </pic:pic>
                    </a:graphicData>
                  </a:graphic>
                </wp:inline>
              </w:drawing>
            </w:r>
            <w:r>
              <w:rPr>
                <w:rFonts w:ascii="宋体" w:hAnsi="宋体"/>
                <w:sz w:val="24"/>
              </w:rPr>
              <w:t xml:space="preserve">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采用二级压缩螺杆机头，水冷却永磁电机，双级压缩相比一级压缩更节能，可以替代传统高耗能产品，达到节能减排的效果。</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化工、汽车、电子、纺织、机械加工、新能源、集成电路SA-CVD、PE—CVD等行业</w:t>
            </w:r>
          </w:p>
        </w:tc>
      </w:tr>
      <w:tr w:rsidR="0080594E" w:rsidTr="003A05C1">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lastRenderedPageBreak/>
              <w:t>永磁变频螺杆空气压缩机（ZLS-Hi+系列）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 </w:t>
            </w:r>
            <w:r>
              <w:rPr>
                <w:noProof/>
              </w:rPr>
              <w:drawing>
                <wp:inline distT="0" distB="0" distL="0" distR="0">
                  <wp:extent cx="1981698" cy="16856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a:picLocks noChangeAspect="1" noChangeArrowheads="1"/>
                          </pic:cNvPicPr>
                        </pic:nvPicPr>
                        <pic:blipFill>
                          <a:blip r:embed="rId24"/>
                          <a:srcRect/>
                          <a:stretch>
                            <a:fillRect/>
                          </a:stretch>
                        </pic:blipFill>
                        <pic:spPr bwMode="auto">
                          <a:xfrm>
                            <a:off x="0" y="0"/>
                            <a:ext cx="1987986" cy="1691024"/>
                          </a:xfrm>
                          <a:prstGeom prst="rect">
                            <a:avLst/>
                          </a:prstGeom>
                        </pic:spPr>
                      </pic:pic>
                    </a:graphicData>
                  </a:graphic>
                </wp:inline>
              </w:drawing>
            </w:r>
            <w:r>
              <w:rPr>
                <w:rFonts w:ascii="宋体" w:hAnsi="宋体"/>
                <w:sz w:val="24"/>
              </w:rPr>
              <w:t>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采用一级压缩螺杆机头，低转速大排量，可以应用于多种大中型企业工况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化工、汽车、电子、纺织、机械加工等行业</w:t>
            </w:r>
          </w:p>
        </w:tc>
      </w:tr>
      <w:tr w:rsidR="0080594E" w:rsidTr="003A05C1">
        <w:tc>
          <w:tcPr>
            <w:tcW w:w="1570" w:type="dxa"/>
            <w:vMerge w:val="restart"/>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永磁变频螺杆空气压缩机（福星系列）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ind w:firstLine="238"/>
              <w:jc w:val="center"/>
            </w:pPr>
            <w:r>
              <w:rPr>
                <w:noProof/>
              </w:rPr>
              <w:drawing>
                <wp:inline distT="0" distB="0" distL="0" distR="0">
                  <wp:extent cx="1990311" cy="185422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5"/>
                          <a:srcRect/>
                          <a:stretch>
                            <a:fillRect/>
                          </a:stretch>
                        </pic:blipFill>
                        <pic:spPr bwMode="auto">
                          <a:xfrm>
                            <a:off x="0" y="0"/>
                            <a:ext cx="1992764" cy="1856507"/>
                          </a:xfrm>
                          <a:prstGeom prst="rect">
                            <a:avLst/>
                          </a:prstGeom>
                        </pic:spPr>
                      </pic:pic>
                    </a:graphicData>
                  </a:graphic>
                </wp:inline>
              </w:drawing>
            </w:r>
            <w:r>
              <w:rPr>
                <w:rFonts w:ascii="宋体" w:hAnsi="宋体"/>
                <w:sz w:val="24"/>
              </w:rPr>
              <w:t xml:space="preserve">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采用油冷式永磁电机，搭配高效节能螺杆主机，广泛应用于多种工况。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汽保行业、激光切割机行业、机械加工、汽车、电子等行业</w:t>
            </w:r>
          </w:p>
        </w:tc>
      </w:tr>
      <w:tr w:rsidR="0080594E" w:rsidTr="003A05C1">
        <w:tc>
          <w:tcPr>
            <w:tcW w:w="1570" w:type="dxa"/>
            <w:vMerge/>
            <w:tcBorders>
              <w:top w:val="single" w:sz="8" w:space="0" w:color="000000"/>
              <w:left w:val="single" w:sz="8" w:space="0" w:color="000000"/>
              <w:bottom w:val="single" w:sz="8" w:space="0" w:color="000000"/>
              <w:right w:val="single" w:sz="8" w:space="0" w:color="000000"/>
            </w:tcBorders>
          </w:tcPr>
          <w:p w:rsidR="0080594E" w:rsidRDefault="0080594E"/>
        </w:tc>
        <w:tc>
          <w:tcPr>
            <w:tcW w:w="4677"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ind w:firstLine="238"/>
              <w:jc w:val="center"/>
            </w:pPr>
            <w:r>
              <w:rPr>
                <w:rFonts w:ascii="宋体" w:hAnsi="宋体"/>
                <w:sz w:val="24"/>
              </w:rPr>
              <w:t> </w:t>
            </w:r>
            <w:r>
              <w:rPr>
                <w:noProof/>
              </w:rPr>
              <w:drawing>
                <wp:inline distT="0" distB="0" distL="0" distR="0">
                  <wp:extent cx="1914525" cy="1838324"/>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a:picLocks noChangeAspect="1" noChangeArrowheads="1"/>
                          </pic:cNvPicPr>
                        </pic:nvPicPr>
                        <pic:blipFill>
                          <a:blip r:embed="rId26"/>
                          <a:srcRect/>
                          <a:stretch>
                            <a:fillRect/>
                          </a:stretch>
                        </pic:blipFill>
                        <pic:spPr bwMode="auto">
                          <a:xfrm>
                            <a:off x="0" y="0"/>
                            <a:ext cx="1914525" cy="1838324"/>
                          </a:xfrm>
                          <a:prstGeom prst="rect">
                            <a:avLst/>
                          </a:prstGeom>
                        </pic:spPr>
                      </pic:pic>
                    </a:graphicData>
                  </a:graphic>
                </wp:inline>
              </w:drawing>
            </w:r>
            <w:r>
              <w:rPr>
                <w:rFonts w:ascii="宋体" w:hAnsi="宋体"/>
                <w:sz w:val="24"/>
              </w:rPr>
              <w:t>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采用油冷式永磁电机，搭配高效节能螺杆主机，广泛应用于多种工况。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汽保行业、激光切割机行业、机械加工、汽车、电子等行业</w:t>
            </w:r>
          </w:p>
        </w:tc>
      </w:tr>
      <w:tr w:rsidR="0080594E" w:rsidTr="003A05C1">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永磁变频螺杆空气压缩机（LS激光切割机系列）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 </w:t>
            </w:r>
            <w:r>
              <w:rPr>
                <w:noProof/>
              </w:rPr>
              <w:drawing>
                <wp:inline distT="0" distB="0" distL="0" distR="0">
                  <wp:extent cx="1762125" cy="16002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7"/>
                          <a:srcRect/>
                          <a:stretch>
                            <a:fillRect/>
                          </a:stretch>
                        </pic:blipFill>
                        <pic:spPr bwMode="auto">
                          <a:xfrm>
                            <a:off x="0" y="0"/>
                            <a:ext cx="1762125" cy="1600200"/>
                          </a:xfrm>
                          <a:prstGeom prst="rect">
                            <a:avLst/>
                          </a:prstGeom>
                        </pic:spPr>
                      </pic:pic>
                    </a:graphicData>
                  </a:graphic>
                </wp:inline>
              </w:drawing>
            </w:r>
            <w:r>
              <w:rPr>
                <w:rFonts w:ascii="宋体" w:hAnsi="宋体"/>
                <w:sz w:val="24"/>
              </w:rPr>
              <w:t>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针对激光切割机行业设计，搭配一体式储气罐设计，可以解决激光切割机配套针对空气质量、环境紧凑等需求</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激光切割机行业</w:t>
            </w:r>
          </w:p>
        </w:tc>
      </w:tr>
      <w:tr w:rsidR="0080594E" w:rsidTr="003A05C1">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永磁变频螺杆空气压缩机（ZLS-Di系列）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noProof/>
              </w:rPr>
              <w:drawing>
                <wp:inline distT="0" distB="0" distL="0" distR="0">
                  <wp:extent cx="2276475" cy="14954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a:picLocks noChangeAspect="1" noChangeArrowheads="1"/>
                          </pic:cNvPicPr>
                        </pic:nvPicPr>
                        <pic:blipFill>
                          <a:blip r:embed="rId28"/>
                          <a:srcRect/>
                          <a:stretch>
                            <a:fillRect/>
                          </a:stretch>
                        </pic:blipFill>
                        <pic:spPr bwMode="auto">
                          <a:xfrm>
                            <a:off x="0" y="0"/>
                            <a:ext cx="2276475" cy="1495425"/>
                          </a:xfrm>
                          <a:prstGeom prst="rect">
                            <a:avLst/>
                          </a:prstGeom>
                        </pic:spPr>
                      </pic:pic>
                    </a:graphicData>
                  </a:graphic>
                </wp:inline>
              </w:drawing>
            </w:r>
            <w:r>
              <w:rPr>
                <w:rFonts w:ascii="宋体" w:hAnsi="宋体"/>
                <w:sz w:val="24"/>
              </w:rPr>
              <w:t xml:space="preserve">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低压大排量系列，针对纺织、玻璃、水泥等低压力行业，更加省电节能。</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纺织、玻璃、水泥等行业</w:t>
            </w:r>
          </w:p>
        </w:tc>
      </w:tr>
    </w:tbl>
    <w:p w:rsidR="0080594E" w:rsidRDefault="000C39A3">
      <w:pPr>
        <w:ind w:firstLine="479"/>
        <w:jc w:val="both"/>
      </w:pPr>
      <w:r>
        <w:rPr>
          <w:rFonts w:ascii="Times New Roman" w:hAnsi="Times New Roman"/>
          <w:sz w:val="24"/>
        </w:rPr>
        <w:lastRenderedPageBreak/>
        <w:t> </w:t>
      </w:r>
      <w:r>
        <w:rPr>
          <w:rFonts w:ascii="宋体" w:hAnsi="宋体"/>
          <w:b/>
          <w:sz w:val="24"/>
        </w:rPr>
        <w:t>③真空泵系列</w:t>
      </w:r>
    </w:p>
    <w:p w:rsidR="0080594E" w:rsidRDefault="000C39A3">
      <w:pPr>
        <w:ind w:firstLine="479"/>
        <w:jc w:val="both"/>
      </w:pPr>
      <w:r>
        <w:rPr>
          <w:rFonts w:ascii="宋体" w:hAnsi="宋体"/>
          <w:sz w:val="24"/>
        </w:rPr>
        <w:t>公司的真空泵，采用永磁电机，比传统真空泵省电节能，可以降低用户使用成本。</w:t>
      </w:r>
    </w:p>
    <w:tbl>
      <w:tblPr>
        <w:tblStyle w:val="a3"/>
        <w:tblW w:w="0" w:type="auto"/>
        <w:tblCellMar>
          <w:left w:w="0" w:type="dxa"/>
          <w:right w:w="0" w:type="dxa"/>
        </w:tblCellMar>
        <w:tblLook w:val="04A0" w:firstRow="1" w:lastRow="0" w:firstColumn="1" w:lastColumn="0" w:noHBand="0" w:noVBand="1"/>
      </w:tblPr>
      <w:tblGrid>
        <w:gridCol w:w="1614"/>
        <w:gridCol w:w="4599"/>
        <w:gridCol w:w="1715"/>
        <w:gridCol w:w="1729"/>
      </w:tblGrid>
      <w:tr w:rsidR="0080594E">
        <w:tc>
          <w:tcPr>
            <w:tcW w:w="168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产品品类</w:t>
            </w:r>
          </w:p>
        </w:tc>
        <w:tc>
          <w:tcPr>
            <w:tcW w:w="4603"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产品外观结构</w:t>
            </w:r>
          </w:p>
        </w:tc>
        <w:tc>
          <w:tcPr>
            <w:tcW w:w="1781"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产品性能</w:t>
            </w:r>
          </w:p>
        </w:tc>
        <w:tc>
          <w:tcPr>
            <w:tcW w:w="1781"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应用领域</w:t>
            </w:r>
          </w:p>
        </w:tc>
      </w:tr>
      <w:tr w:rsidR="0080594E">
        <w:tc>
          <w:tcPr>
            <w:tcW w:w="1689"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有油真空泵</w:t>
            </w:r>
          </w:p>
        </w:tc>
        <w:tc>
          <w:tcPr>
            <w:tcW w:w="460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2138155" cy="1614893"/>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9"/>
                          <a:srcRect/>
                          <a:stretch>
                            <a:fillRect/>
                          </a:stretch>
                        </pic:blipFill>
                        <pic:spPr bwMode="auto">
                          <a:xfrm>
                            <a:off x="0" y="0"/>
                            <a:ext cx="2140415" cy="1616600"/>
                          </a:xfrm>
                          <a:prstGeom prst="rect">
                            <a:avLst/>
                          </a:prstGeom>
                        </pic:spPr>
                      </pic:pic>
                    </a:graphicData>
                  </a:graphic>
                </wp:inline>
              </w:drawing>
            </w:r>
            <w:r>
              <w:rPr>
                <w:rFonts w:ascii="Times New Roman" w:hAnsi="Times New Roman"/>
                <w:sz w:val="24"/>
              </w:rPr>
              <w:t> </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永磁变频智能运行，高效率、节能省电；结构紧凑、占用面积小、无需使用放置设备。</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spacing w:before="40" w:after="40"/>
              <w:jc w:val="both"/>
            </w:pPr>
            <w:r>
              <w:rPr>
                <w:rFonts w:ascii="宋体" w:hAnsi="宋体"/>
                <w:sz w:val="24"/>
              </w:rPr>
              <w:t>电子真空夹持、吸附，化学和医药真空制造流程、易拉罐真空罐装等工业领域。</w:t>
            </w:r>
          </w:p>
        </w:tc>
      </w:tr>
      <w:tr w:rsidR="0080594E">
        <w:tc>
          <w:tcPr>
            <w:tcW w:w="1689"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无油真空泵</w:t>
            </w:r>
          </w:p>
        </w:tc>
        <w:tc>
          <w:tcPr>
            <w:tcW w:w="460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2762250" cy="160020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a:picLocks noChangeAspect="1" noChangeArrowheads="1"/>
                          </pic:cNvPicPr>
                        </pic:nvPicPr>
                        <pic:blipFill>
                          <a:blip r:embed="rId30"/>
                          <a:srcRect/>
                          <a:stretch>
                            <a:fillRect/>
                          </a:stretch>
                        </pic:blipFill>
                        <pic:spPr bwMode="auto">
                          <a:xfrm>
                            <a:off x="0" y="0"/>
                            <a:ext cx="2762250" cy="1600200"/>
                          </a:xfrm>
                          <a:prstGeom prst="rect">
                            <a:avLst/>
                          </a:prstGeom>
                        </pic:spPr>
                      </pic:pic>
                    </a:graphicData>
                  </a:graphic>
                </wp:inline>
              </w:drawing>
            </w:r>
            <w:r>
              <w:rPr>
                <w:rFonts w:ascii="Times New Roman" w:hAnsi="Times New Roman"/>
                <w:sz w:val="24"/>
              </w:rPr>
              <w:t> </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抽速快、纯净无油；永磁变频智能运行，高效率、节能省电；长时间高稳定的真空度，粉尘不卡壳。</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新能源、集成电路</w:t>
            </w:r>
            <w:r>
              <w:rPr>
                <w:rFonts w:ascii="Times New Roman" w:hAnsi="Times New Roman"/>
                <w:sz w:val="24"/>
              </w:rPr>
              <w:t>SA-CVD</w:t>
            </w:r>
            <w:r>
              <w:rPr>
                <w:rFonts w:ascii="宋体" w:hAnsi="宋体"/>
                <w:sz w:val="24"/>
              </w:rPr>
              <w:t>、</w:t>
            </w:r>
            <w:r>
              <w:rPr>
                <w:rFonts w:ascii="Times New Roman" w:hAnsi="Times New Roman"/>
                <w:sz w:val="24"/>
              </w:rPr>
              <w:t>PE—CVD</w:t>
            </w:r>
            <w:r>
              <w:rPr>
                <w:rFonts w:ascii="宋体" w:hAnsi="宋体"/>
                <w:sz w:val="24"/>
              </w:rPr>
              <w:t>等行业领域</w:t>
            </w:r>
          </w:p>
        </w:tc>
      </w:tr>
    </w:tbl>
    <w:p w:rsidR="0080594E" w:rsidRDefault="000C39A3">
      <w:pPr>
        <w:ind w:firstLine="479"/>
        <w:jc w:val="both"/>
      </w:pPr>
      <w:r>
        <w:rPr>
          <w:rFonts w:ascii="Times New Roman" w:hAnsi="Times New Roman"/>
          <w:sz w:val="24"/>
        </w:rPr>
        <w:t> </w:t>
      </w:r>
      <w:r>
        <w:rPr>
          <w:rFonts w:ascii="宋体" w:hAnsi="宋体"/>
          <w:b/>
          <w:sz w:val="24"/>
        </w:rPr>
        <w:t>④离心式压缩机系列</w:t>
      </w:r>
    </w:p>
    <w:p w:rsidR="0080594E" w:rsidRDefault="000C39A3">
      <w:pPr>
        <w:ind w:firstLine="479"/>
        <w:jc w:val="both"/>
      </w:pPr>
      <w:r>
        <w:rPr>
          <w:rFonts w:ascii="宋体" w:hAnsi="宋体"/>
          <w:sz w:val="24"/>
        </w:rPr>
        <w:t>公司的离心式压缩机，具有纯净无油、大流量、永磁变频更节能等特点。</w:t>
      </w:r>
    </w:p>
    <w:tbl>
      <w:tblPr>
        <w:tblStyle w:val="a3"/>
        <w:tblW w:w="9657" w:type="dxa"/>
        <w:tblCellMar>
          <w:left w:w="0" w:type="dxa"/>
          <w:right w:w="0" w:type="dxa"/>
        </w:tblCellMar>
        <w:tblLook w:val="04A0" w:firstRow="1" w:lastRow="0" w:firstColumn="1" w:lastColumn="0" w:noHBand="0" w:noVBand="1"/>
      </w:tblPr>
      <w:tblGrid>
        <w:gridCol w:w="1667"/>
        <w:gridCol w:w="4468"/>
        <w:gridCol w:w="1761"/>
        <w:gridCol w:w="1761"/>
      </w:tblGrid>
      <w:tr w:rsidR="0080594E">
        <w:tc>
          <w:tcPr>
            <w:tcW w:w="1667"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产品品类</w:t>
            </w:r>
          </w:p>
        </w:tc>
        <w:tc>
          <w:tcPr>
            <w:tcW w:w="4468"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产品外观结构</w:t>
            </w:r>
          </w:p>
        </w:tc>
        <w:tc>
          <w:tcPr>
            <w:tcW w:w="1761"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产品性能</w:t>
            </w:r>
          </w:p>
        </w:tc>
        <w:tc>
          <w:tcPr>
            <w:tcW w:w="1761"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应用领域</w:t>
            </w:r>
          </w:p>
        </w:tc>
      </w:tr>
      <w:tr w:rsidR="0080594E">
        <w:tc>
          <w:tcPr>
            <w:tcW w:w="1667"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离心鼓风机</w:t>
            </w:r>
          </w:p>
        </w:tc>
        <w:tc>
          <w:tcPr>
            <w:tcW w:w="4468"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1993624" cy="209948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31"/>
                          <a:srcRect/>
                          <a:stretch>
                            <a:fillRect/>
                          </a:stretch>
                        </pic:blipFill>
                        <pic:spPr bwMode="auto">
                          <a:xfrm>
                            <a:off x="0" y="0"/>
                            <a:ext cx="2000009" cy="2106204"/>
                          </a:xfrm>
                          <a:prstGeom prst="rect">
                            <a:avLst/>
                          </a:prstGeom>
                        </pic:spPr>
                      </pic:pic>
                    </a:graphicData>
                  </a:graphic>
                </wp:inline>
              </w:drawing>
            </w:r>
            <w:r>
              <w:rPr>
                <w:rFonts w:ascii="Times New Roman" w:hAnsi="Times New Roman"/>
                <w:sz w:val="24"/>
              </w:rPr>
              <w:t> </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采用空悬浮轴承，高效三元流叶轮，搭配永磁电机，高稳定性、高效率。</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曝气、印刷、生物发酵等行业领域。</w:t>
            </w:r>
          </w:p>
        </w:tc>
      </w:tr>
      <w:tr w:rsidR="0080594E">
        <w:tc>
          <w:tcPr>
            <w:tcW w:w="1667"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离心增氧机</w:t>
            </w:r>
          </w:p>
        </w:tc>
        <w:tc>
          <w:tcPr>
            <w:tcW w:w="4468"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2041084" cy="20072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a:picLocks noChangeAspect="1" noChangeArrowheads="1"/>
                          </pic:cNvPicPr>
                        </pic:nvPicPr>
                        <pic:blipFill>
                          <a:blip r:embed="rId32"/>
                          <a:srcRect/>
                          <a:stretch>
                            <a:fillRect/>
                          </a:stretch>
                        </pic:blipFill>
                        <pic:spPr bwMode="auto">
                          <a:xfrm>
                            <a:off x="0" y="0"/>
                            <a:ext cx="2047659" cy="2013673"/>
                          </a:xfrm>
                          <a:prstGeom prst="rect">
                            <a:avLst/>
                          </a:prstGeom>
                        </pic:spPr>
                      </pic:pic>
                    </a:graphicData>
                  </a:graphic>
                </wp:inline>
              </w:drawing>
            </w:r>
            <w:r>
              <w:rPr>
                <w:rFonts w:ascii="Times New Roman" w:hAnsi="Times New Roman"/>
                <w:sz w:val="24"/>
              </w:rPr>
              <w:t> </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快速增氧，流量大，曝气稳定均匀，比传统罗茨增氧机稳定、节能。</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水产养殖业、水刀等行业领域。</w:t>
            </w:r>
          </w:p>
        </w:tc>
      </w:tr>
    </w:tbl>
    <w:p w:rsidR="0080594E" w:rsidRDefault="000C39A3">
      <w:pPr>
        <w:ind w:firstLine="481"/>
        <w:jc w:val="both"/>
      </w:pPr>
      <w:r>
        <w:rPr>
          <w:rFonts w:ascii="宋体" w:hAnsi="宋体"/>
          <w:b/>
          <w:sz w:val="24"/>
        </w:rPr>
        <w:lastRenderedPageBreak/>
        <w:t>⑤活塞式压缩机系列</w:t>
      </w:r>
    </w:p>
    <w:p w:rsidR="0080594E" w:rsidRDefault="000C39A3">
      <w:pPr>
        <w:ind w:firstLine="479"/>
        <w:jc w:val="both"/>
      </w:pPr>
      <w:r>
        <w:rPr>
          <w:rFonts w:ascii="宋体" w:hAnsi="宋体"/>
          <w:sz w:val="24"/>
        </w:rPr>
        <w:t>活塞式压缩机是通过活塞在气缸中做往复运动来压缩气体的轴驱动压缩机，公司活塞式压缩机设备可满足客户不同压力的需求。公司活塞机拥有多个型号，多种系列，产品系列丰富，可以满足各个工业产业需求。</w:t>
      </w:r>
    </w:p>
    <w:tbl>
      <w:tblPr>
        <w:tblStyle w:val="a3"/>
        <w:tblW w:w="0" w:type="auto"/>
        <w:tblCellMar>
          <w:left w:w="0" w:type="dxa"/>
          <w:right w:w="0" w:type="dxa"/>
        </w:tblCellMar>
        <w:tblLook w:val="04A0" w:firstRow="1" w:lastRow="0" w:firstColumn="1" w:lastColumn="0" w:noHBand="0" w:noVBand="1"/>
      </w:tblPr>
      <w:tblGrid>
        <w:gridCol w:w="2058"/>
        <w:gridCol w:w="3561"/>
        <w:gridCol w:w="2016"/>
        <w:gridCol w:w="2022"/>
      </w:tblGrid>
      <w:tr w:rsidR="0080594E">
        <w:trPr>
          <w:trHeight w:val="312"/>
        </w:trPr>
        <w:tc>
          <w:tcPr>
            <w:tcW w:w="2131"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产品品类</w:t>
            </w:r>
          </w:p>
        </w:tc>
        <w:tc>
          <w:tcPr>
            <w:tcW w:w="3566"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产品外观结构</w:t>
            </w:r>
          </w:p>
        </w:tc>
        <w:tc>
          <w:tcPr>
            <w:tcW w:w="2074"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产品性能</w:t>
            </w:r>
          </w:p>
        </w:tc>
        <w:tc>
          <w:tcPr>
            <w:tcW w:w="2083"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应用领域</w:t>
            </w:r>
          </w:p>
        </w:tc>
      </w:tr>
      <w:tr w:rsidR="0080594E">
        <w:trPr>
          <w:trHeight w:val="3155"/>
        </w:trPr>
        <w:tc>
          <w:tcPr>
            <w:tcW w:w="2131"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常压系列</w:t>
            </w:r>
          </w:p>
        </w:tc>
        <w:tc>
          <w:tcPr>
            <w:tcW w:w="356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1962150" cy="158115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33"/>
                          <a:srcRect/>
                          <a:stretch>
                            <a:fillRect/>
                          </a:stretch>
                        </pic:blipFill>
                        <pic:spPr bwMode="auto">
                          <a:xfrm>
                            <a:off x="0" y="0"/>
                            <a:ext cx="1962150" cy="1581150"/>
                          </a:xfrm>
                          <a:prstGeom prst="rect">
                            <a:avLst/>
                          </a:prstGeom>
                        </pic:spPr>
                      </pic:pic>
                    </a:graphicData>
                  </a:graphic>
                </wp:inline>
              </w:drawing>
            </w:r>
          </w:p>
          <w:p w:rsidR="0080594E" w:rsidRDefault="000C39A3">
            <w:pPr>
              <w:jc w:val="center"/>
            </w:pPr>
            <w:r>
              <w:rPr>
                <w:rFonts w:ascii="Times New Roman" w:hAnsi="Times New Roman"/>
                <w:sz w:val="24"/>
              </w:rPr>
              <w:t xml:space="preserve">  </w:t>
            </w:r>
          </w:p>
        </w:tc>
        <w:tc>
          <w:tcPr>
            <w:tcW w:w="2074"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结构紧凑，外形美观，品种齐全，适合各用户的需求；电控与气控结合一起，运行平稳、使用寿命长、噪音小。</w:t>
            </w:r>
          </w:p>
        </w:tc>
        <w:tc>
          <w:tcPr>
            <w:tcW w:w="208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汽车、冶金、化工等行业领域</w:t>
            </w:r>
          </w:p>
          <w:p w:rsidR="0080594E" w:rsidRDefault="000C39A3">
            <w:pPr>
              <w:jc w:val="both"/>
            </w:pPr>
            <w:r>
              <w:rPr>
                <w:rFonts w:ascii="Times New Roman" w:hAnsi="Times New Roman"/>
                <w:sz w:val="24"/>
              </w:rPr>
              <w:t> </w:t>
            </w:r>
          </w:p>
        </w:tc>
      </w:tr>
      <w:tr w:rsidR="0080594E">
        <w:trPr>
          <w:trHeight w:val="312"/>
        </w:trPr>
        <w:tc>
          <w:tcPr>
            <w:tcW w:w="2131"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无油系列</w:t>
            </w:r>
          </w:p>
        </w:tc>
        <w:tc>
          <w:tcPr>
            <w:tcW w:w="356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1866899" cy="145732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a:picLocks noChangeAspect="1" noChangeArrowheads="1"/>
                          </pic:cNvPicPr>
                        </pic:nvPicPr>
                        <pic:blipFill>
                          <a:blip r:embed="rId34"/>
                          <a:srcRect/>
                          <a:stretch>
                            <a:fillRect/>
                          </a:stretch>
                        </pic:blipFill>
                        <pic:spPr bwMode="auto">
                          <a:xfrm>
                            <a:off x="0" y="0"/>
                            <a:ext cx="1866899" cy="1457325"/>
                          </a:xfrm>
                          <a:prstGeom prst="rect">
                            <a:avLst/>
                          </a:prstGeom>
                        </pic:spPr>
                      </pic:pic>
                    </a:graphicData>
                  </a:graphic>
                </wp:inline>
              </w:drawing>
            </w:r>
            <w:r>
              <w:rPr>
                <w:rFonts w:ascii="Times New Roman" w:hAnsi="Times New Roman"/>
                <w:sz w:val="24"/>
              </w:rPr>
              <w:t> </w:t>
            </w:r>
          </w:p>
        </w:tc>
        <w:tc>
          <w:tcPr>
            <w:tcW w:w="2074"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采用自润滑活塞环和密封轴承，整个压缩过程没有润滑油的参与，提供洁净的压缩空气；经严密的动平衡校正，使空压机运转更平稳，寿命更长。</w:t>
            </w:r>
          </w:p>
        </w:tc>
        <w:tc>
          <w:tcPr>
            <w:tcW w:w="208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医疗、食品等行业领域。</w:t>
            </w:r>
          </w:p>
        </w:tc>
      </w:tr>
      <w:tr w:rsidR="0080594E">
        <w:trPr>
          <w:trHeight w:val="2531"/>
        </w:trPr>
        <w:tc>
          <w:tcPr>
            <w:tcW w:w="2131"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高压系列</w:t>
            </w:r>
          </w:p>
        </w:tc>
        <w:tc>
          <w:tcPr>
            <w:tcW w:w="356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xml:space="preserve">  </w:t>
            </w:r>
          </w:p>
          <w:p w:rsidR="0080594E" w:rsidRDefault="000C39A3">
            <w:pPr>
              <w:jc w:val="center"/>
            </w:pPr>
            <w:r>
              <w:rPr>
                <w:rFonts w:ascii="Times New Roman" w:hAnsi="Times New Roman"/>
                <w:sz w:val="24"/>
              </w:rPr>
              <w:t> </w:t>
            </w:r>
            <w:r>
              <w:rPr>
                <w:noProof/>
              </w:rPr>
              <w:drawing>
                <wp:inline distT="0" distB="0" distL="0" distR="0">
                  <wp:extent cx="2105025" cy="12954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35"/>
                          <a:srcRect/>
                          <a:stretch>
                            <a:fillRect/>
                          </a:stretch>
                        </pic:blipFill>
                        <pic:spPr bwMode="auto">
                          <a:xfrm>
                            <a:off x="0" y="0"/>
                            <a:ext cx="2105025" cy="1295400"/>
                          </a:xfrm>
                          <a:prstGeom prst="rect">
                            <a:avLst/>
                          </a:prstGeom>
                        </pic:spPr>
                      </pic:pic>
                    </a:graphicData>
                  </a:graphic>
                </wp:inline>
              </w:drawing>
            </w:r>
          </w:p>
        </w:tc>
        <w:tc>
          <w:tcPr>
            <w:tcW w:w="2074"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行程大，转速低，压缩比小，效率更高、更省电；高级的中间冷却缓冲器，提高了压缩机效率，降低了电能消耗，降低了排气温度</w:t>
            </w:r>
            <w:r>
              <w:rPr>
                <w:rFonts w:ascii="Times New Roman" w:hAnsi="Times New Roman"/>
                <w:sz w:val="24"/>
              </w:rPr>
              <w:t xml:space="preserve"> </w:t>
            </w:r>
            <w:r>
              <w:rPr>
                <w:rFonts w:ascii="宋体" w:hAnsi="宋体"/>
                <w:sz w:val="24"/>
              </w:rPr>
              <w:t>，</w:t>
            </w:r>
            <w:r>
              <w:rPr>
                <w:rFonts w:ascii="Times New Roman" w:hAnsi="Times New Roman"/>
                <w:sz w:val="24"/>
              </w:rPr>
              <w:t xml:space="preserve"> </w:t>
            </w:r>
            <w:r>
              <w:rPr>
                <w:rFonts w:ascii="宋体" w:hAnsi="宋体"/>
                <w:sz w:val="24"/>
              </w:rPr>
              <w:t>延长了使用寿命。</w:t>
            </w:r>
          </w:p>
        </w:tc>
        <w:tc>
          <w:tcPr>
            <w:tcW w:w="208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汽车、冶金、化工等行业领域。</w:t>
            </w:r>
          </w:p>
          <w:p w:rsidR="0080594E" w:rsidRDefault="000C39A3">
            <w:pPr>
              <w:jc w:val="both"/>
            </w:pPr>
            <w:r>
              <w:rPr>
                <w:rFonts w:ascii="Times New Roman" w:hAnsi="Times New Roman"/>
                <w:sz w:val="24"/>
              </w:rPr>
              <w:t> </w:t>
            </w:r>
          </w:p>
        </w:tc>
      </w:tr>
      <w:tr w:rsidR="0080594E">
        <w:trPr>
          <w:trHeight w:val="312"/>
        </w:trPr>
        <w:tc>
          <w:tcPr>
            <w:tcW w:w="2131"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水冷却活塞系列</w:t>
            </w:r>
          </w:p>
        </w:tc>
        <w:tc>
          <w:tcPr>
            <w:tcW w:w="356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noProof/>
              </w:rPr>
              <w:drawing>
                <wp:inline distT="0" distB="0" distL="0" distR="0">
                  <wp:extent cx="2009774" cy="160972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a:picLocks noChangeAspect="1" noChangeArrowheads="1"/>
                          </pic:cNvPicPr>
                        </pic:nvPicPr>
                        <pic:blipFill>
                          <a:blip r:embed="rId36"/>
                          <a:srcRect/>
                          <a:stretch>
                            <a:fillRect/>
                          </a:stretch>
                        </pic:blipFill>
                        <pic:spPr bwMode="auto">
                          <a:xfrm>
                            <a:off x="0" y="0"/>
                            <a:ext cx="2009774" cy="1609725"/>
                          </a:xfrm>
                          <a:prstGeom prst="rect">
                            <a:avLst/>
                          </a:prstGeom>
                        </pic:spPr>
                      </pic:pic>
                    </a:graphicData>
                  </a:graphic>
                </wp:inline>
              </w:drawing>
            </w:r>
            <w:r>
              <w:rPr>
                <w:rFonts w:ascii="Times New Roman" w:hAnsi="Times New Roman"/>
                <w:sz w:val="24"/>
              </w:rPr>
              <w:t xml:space="preserve">  </w:t>
            </w:r>
          </w:p>
        </w:tc>
        <w:tc>
          <w:tcPr>
            <w:tcW w:w="2074"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卓越的水冷设计，</w:t>
            </w:r>
            <w:r>
              <w:rPr>
                <w:rFonts w:ascii="Times New Roman" w:hAnsi="Times New Roman"/>
                <w:sz w:val="24"/>
              </w:rPr>
              <w:t xml:space="preserve"> </w:t>
            </w:r>
            <w:r>
              <w:rPr>
                <w:rFonts w:ascii="宋体" w:hAnsi="宋体"/>
                <w:sz w:val="24"/>
              </w:rPr>
              <w:t>让活塞机处于低温状态，各配件寿命长，排气温度低。水冷型，冷却可靠，尤其适用于粉尘较多的场合。</w:t>
            </w:r>
          </w:p>
        </w:tc>
        <w:tc>
          <w:tcPr>
            <w:tcW w:w="208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汽车、冶金、化工等行业领域。</w:t>
            </w:r>
          </w:p>
        </w:tc>
      </w:tr>
    </w:tbl>
    <w:p w:rsidR="0080594E" w:rsidRDefault="000C39A3">
      <w:pPr>
        <w:ind w:firstLine="479"/>
        <w:jc w:val="both"/>
      </w:pPr>
      <w:r>
        <w:rPr>
          <w:rFonts w:ascii="Times New Roman" w:hAnsi="Times New Roman"/>
          <w:sz w:val="24"/>
        </w:rPr>
        <w:t> </w:t>
      </w:r>
      <w:r>
        <w:rPr>
          <w:rFonts w:ascii="宋体" w:hAnsi="宋体"/>
          <w:b/>
          <w:sz w:val="24"/>
        </w:rPr>
        <w:t>⑥配套设备系列</w:t>
      </w:r>
    </w:p>
    <w:p w:rsidR="0080594E" w:rsidRDefault="000C39A3">
      <w:pPr>
        <w:ind w:firstLine="479"/>
        <w:jc w:val="both"/>
      </w:pPr>
      <w:r>
        <w:rPr>
          <w:rFonts w:ascii="宋体" w:hAnsi="宋体"/>
          <w:sz w:val="24"/>
        </w:rPr>
        <w:t>配套设备包括冷冻式干燥机、吸附式干燥机等设备，该等设备用于对螺杆式空压机产</w:t>
      </w:r>
      <w:r>
        <w:rPr>
          <w:rFonts w:ascii="宋体" w:hAnsi="宋体"/>
          <w:sz w:val="24"/>
        </w:rPr>
        <w:lastRenderedPageBreak/>
        <w:t>生的压缩空气进行除水、除油等处理。</w:t>
      </w:r>
    </w:p>
    <w:tbl>
      <w:tblPr>
        <w:tblStyle w:val="a3"/>
        <w:tblW w:w="0" w:type="auto"/>
        <w:tblCellMar>
          <w:left w:w="0" w:type="dxa"/>
          <w:right w:w="0" w:type="dxa"/>
        </w:tblCellMar>
        <w:tblLook w:val="04A0" w:firstRow="1" w:lastRow="0" w:firstColumn="1" w:lastColumn="0" w:noHBand="0" w:noVBand="1"/>
      </w:tblPr>
      <w:tblGrid>
        <w:gridCol w:w="1786"/>
        <w:gridCol w:w="4251"/>
        <w:gridCol w:w="1821"/>
        <w:gridCol w:w="1799"/>
      </w:tblGrid>
      <w:tr w:rsidR="0080594E">
        <w:trPr>
          <w:trHeight w:val="312"/>
        </w:trPr>
        <w:tc>
          <w:tcPr>
            <w:tcW w:w="1854"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产品品类</w:t>
            </w:r>
          </w:p>
        </w:tc>
        <w:tc>
          <w:tcPr>
            <w:tcW w:w="4265"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产品外观结构</w:t>
            </w:r>
          </w:p>
        </w:tc>
        <w:tc>
          <w:tcPr>
            <w:tcW w:w="1879"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产品性能</w:t>
            </w:r>
          </w:p>
        </w:tc>
        <w:tc>
          <w:tcPr>
            <w:tcW w:w="1856"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应用领域</w:t>
            </w:r>
          </w:p>
        </w:tc>
      </w:tr>
      <w:tr w:rsidR="0080594E">
        <w:trPr>
          <w:trHeight w:val="4091"/>
        </w:trPr>
        <w:tc>
          <w:tcPr>
            <w:tcW w:w="1854"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冷冻式干燥机</w:t>
            </w:r>
          </w:p>
        </w:tc>
        <w:tc>
          <w:tcPr>
            <w:tcW w:w="4265"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p>
          <w:p w:rsidR="0080594E" w:rsidRDefault="000C39A3">
            <w:pPr>
              <w:jc w:val="center"/>
            </w:pPr>
            <w:r>
              <w:rPr>
                <w:rFonts w:ascii="Times New Roman" w:hAnsi="Times New Roman"/>
                <w:sz w:val="24"/>
              </w:rPr>
              <w:t> </w:t>
            </w:r>
            <w:r>
              <w:rPr>
                <w:noProof/>
              </w:rPr>
              <w:drawing>
                <wp:inline distT="0" distB="0" distL="0" distR="0">
                  <wp:extent cx="2190750" cy="2095499"/>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37"/>
                          <a:srcRect/>
                          <a:stretch>
                            <a:fillRect/>
                          </a:stretch>
                        </pic:blipFill>
                        <pic:spPr bwMode="auto">
                          <a:xfrm>
                            <a:off x="0" y="0"/>
                            <a:ext cx="2190750" cy="2095499"/>
                          </a:xfrm>
                          <a:prstGeom prst="rect">
                            <a:avLst/>
                          </a:prstGeom>
                        </pic:spPr>
                      </pic:pic>
                    </a:graphicData>
                  </a:graphic>
                </wp:inline>
              </w:drawing>
            </w:r>
            <w:r>
              <w:rPr>
                <w:rFonts w:ascii="Times New Roman" w:hAnsi="Times New Roman"/>
                <w:sz w:val="24"/>
              </w:rPr>
              <w:t> </w:t>
            </w:r>
          </w:p>
        </w:tc>
        <w:tc>
          <w:tcPr>
            <w:tcW w:w="187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有效降低空气露点，去除压缩空气中的水分，产品稳定，可以应用于多种工况。</w:t>
            </w:r>
          </w:p>
        </w:tc>
        <w:tc>
          <w:tcPr>
            <w:tcW w:w="185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空压机后部处理设备。</w:t>
            </w:r>
          </w:p>
        </w:tc>
      </w:tr>
      <w:tr w:rsidR="0080594E">
        <w:trPr>
          <w:trHeight w:val="312"/>
        </w:trPr>
        <w:tc>
          <w:tcPr>
            <w:tcW w:w="1854"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吸附式干燥机</w:t>
            </w:r>
          </w:p>
        </w:tc>
        <w:tc>
          <w:tcPr>
            <w:tcW w:w="4265"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2390775" cy="31623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a:picLocks noChangeAspect="1" noChangeArrowheads="1"/>
                          </pic:cNvPicPr>
                        </pic:nvPicPr>
                        <pic:blipFill>
                          <a:blip r:embed="rId38"/>
                          <a:srcRect/>
                          <a:stretch>
                            <a:fillRect/>
                          </a:stretch>
                        </pic:blipFill>
                        <pic:spPr bwMode="auto">
                          <a:xfrm>
                            <a:off x="0" y="0"/>
                            <a:ext cx="2390775" cy="3162300"/>
                          </a:xfrm>
                          <a:prstGeom prst="rect">
                            <a:avLst/>
                          </a:prstGeom>
                        </pic:spPr>
                      </pic:pic>
                    </a:graphicData>
                  </a:graphic>
                </wp:inline>
              </w:drawing>
            </w:r>
            <w:r>
              <w:rPr>
                <w:rFonts w:ascii="Times New Roman" w:hAnsi="Times New Roman"/>
                <w:sz w:val="24"/>
              </w:rPr>
              <w:t> </w:t>
            </w:r>
          </w:p>
        </w:tc>
        <w:tc>
          <w:tcPr>
            <w:tcW w:w="1879"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适用于对压缩空气有更高的露点要求的工况。</w:t>
            </w:r>
          </w:p>
        </w:tc>
        <w:tc>
          <w:tcPr>
            <w:tcW w:w="185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空压机后部处理设备。</w:t>
            </w:r>
          </w:p>
        </w:tc>
      </w:tr>
    </w:tbl>
    <w:p w:rsidR="0080594E" w:rsidRDefault="000C39A3">
      <w:pPr>
        <w:ind w:firstLine="479"/>
        <w:jc w:val="both"/>
      </w:pPr>
      <w:r>
        <w:rPr>
          <w:rFonts w:ascii="Times New Roman" w:hAnsi="Times New Roman"/>
          <w:sz w:val="24"/>
        </w:rPr>
        <w:t> </w:t>
      </w:r>
      <w:r>
        <w:rPr>
          <w:rFonts w:ascii="宋体" w:hAnsi="宋体"/>
          <w:b/>
          <w:sz w:val="24"/>
        </w:rPr>
        <w:t>⑦配件系列</w:t>
      </w:r>
    </w:p>
    <w:tbl>
      <w:tblPr>
        <w:tblStyle w:val="a3"/>
        <w:tblW w:w="0" w:type="auto"/>
        <w:tblCellMar>
          <w:left w:w="0" w:type="dxa"/>
          <w:right w:w="0" w:type="dxa"/>
        </w:tblCellMar>
        <w:tblLook w:val="04A0" w:firstRow="1" w:lastRow="0" w:firstColumn="1" w:lastColumn="0" w:noHBand="0" w:noVBand="1"/>
      </w:tblPr>
      <w:tblGrid>
        <w:gridCol w:w="1837"/>
        <w:gridCol w:w="5786"/>
        <w:gridCol w:w="2034"/>
      </w:tblGrid>
      <w:tr w:rsidR="0080594E">
        <w:tc>
          <w:tcPr>
            <w:tcW w:w="1895"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产品品类</w:t>
            </w:r>
          </w:p>
        </w:tc>
        <w:tc>
          <w:tcPr>
            <w:tcW w:w="5886"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产品外观结构</w:t>
            </w:r>
          </w:p>
        </w:tc>
        <w:tc>
          <w:tcPr>
            <w:tcW w:w="2073" w:type="dxa"/>
            <w:tcBorders>
              <w:top w:val="single" w:sz="8" w:space="0" w:color="000000"/>
              <w:bottom w:val="single" w:sz="8" w:space="0" w:color="000000"/>
              <w:right w:val="single" w:sz="8" w:space="0" w:color="000000"/>
            </w:tcBorders>
            <w:tcMar>
              <w:top w:w="10" w:type="dxa"/>
              <w:left w:w="10" w:type="dxa"/>
              <w:bottom w:w="10" w:type="dxa"/>
              <w:right w:w="10" w:type="dxa"/>
            </w:tcMar>
          </w:tcPr>
          <w:p w:rsidR="0080594E" w:rsidRDefault="000C39A3">
            <w:pPr>
              <w:jc w:val="center"/>
            </w:pPr>
            <w:r>
              <w:rPr>
                <w:rFonts w:ascii="宋体" w:hAnsi="宋体"/>
                <w:b/>
                <w:sz w:val="24"/>
              </w:rPr>
              <w:t>产品性能</w:t>
            </w:r>
          </w:p>
        </w:tc>
      </w:tr>
      <w:tr w:rsidR="0080594E">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精密过滤器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1485900" cy="155257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39"/>
                          <a:srcRect/>
                          <a:stretch>
                            <a:fillRect/>
                          </a:stretch>
                        </pic:blipFill>
                        <pic:spPr bwMode="auto">
                          <a:xfrm>
                            <a:off x="0" y="0"/>
                            <a:ext cx="1485900" cy="1552575"/>
                          </a:xfrm>
                          <a:prstGeom prst="rect">
                            <a:avLst/>
                          </a:prstGeom>
                        </pic:spPr>
                      </pic:pic>
                    </a:graphicData>
                  </a:graphic>
                </wp:inline>
              </w:drawing>
            </w:r>
            <w:r>
              <w:rPr>
                <w:rFonts w:ascii="Times New Roman" w:hAnsi="Times New Roman"/>
                <w:sz w:val="24"/>
              </w:rPr>
              <w:t>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过滤精度高达</w:t>
            </w:r>
            <w:r>
              <w:rPr>
                <w:rFonts w:ascii="Times New Roman" w:hAnsi="Times New Roman"/>
                <w:sz w:val="24"/>
              </w:rPr>
              <w:t>0.01um</w:t>
            </w:r>
            <w:r>
              <w:rPr>
                <w:rFonts w:ascii="宋体" w:hAnsi="宋体"/>
                <w:sz w:val="24"/>
              </w:rPr>
              <w:t>，过滤精度高，滤芯孔径均匀；</w:t>
            </w:r>
          </w:p>
          <w:p w:rsidR="0080594E" w:rsidRDefault="000C39A3">
            <w:pPr>
              <w:jc w:val="both"/>
            </w:pPr>
            <w:r>
              <w:rPr>
                <w:rFonts w:ascii="宋体" w:hAnsi="宋体"/>
                <w:sz w:val="24"/>
              </w:rPr>
              <w:t>过滤阻力小，通量大、截污能力强，使用寿命长。</w:t>
            </w:r>
          </w:p>
        </w:tc>
      </w:tr>
      <w:tr w:rsidR="0080594E">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lastRenderedPageBreak/>
              <w:t>油过滤器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1190625" cy="122872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a:picLocks noChangeAspect="1" noChangeArrowheads="1"/>
                          </pic:cNvPicPr>
                        </pic:nvPicPr>
                        <pic:blipFill>
                          <a:blip r:embed="rId40"/>
                          <a:srcRect/>
                          <a:stretch>
                            <a:fillRect/>
                          </a:stretch>
                        </pic:blipFill>
                        <pic:spPr bwMode="auto">
                          <a:xfrm>
                            <a:off x="0" y="0"/>
                            <a:ext cx="1190625" cy="1228725"/>
                          </a:xfrm>
                          <a:prstGeom prst="rect">
                            <a:avLst/>
                          </a:prstGeom>
                        </pic:spPr>
                      </pic:pic>
                    </a:graphicData>
                  </a:graphic>
                </wp:inline>
              </w:drawing>
            </w:r>
            <w:r>
              <w:rPr>
                <w:rFonts w:ascii="Times New Roman" w:hAnsi="Times New Roman"/>
                <w:sz w:val="24"/>
              </w:rPr>
              <w:t>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捷豹专用，优质滤芯，高效过滤润滑油中杂质，延长机体寿命。</w:t>
            </w:r>
          </w:p>
        </w:tc>
      </w:tr>
      <w:tr w:rsidR="0080594E">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油气分离器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Times New Roman" w:hAnsi="Times New Roman"/>
                <w:sz w:val="24"/>
              </w:rPr>
              <w:t> </w:t>
            </w:r>
            <w:r>
              <w:rPr>
                <w:noProof/>
              </w:rPr>
              <w:drawing>
                <wp:inline distT="0" distB="0" distL="0" distR="0">
                  <wp:extent cx="1866899" cy="106680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41"/>
                          <a:srcRect/>
                          <a:stretch>
                            <a:fillRect/>
                          </a:stretch>
                        </pic:blipFill>
                        <pic:spPr bwMode="auto">
                          <a:xfrm>
                            <a:off x="0" y="0"/>
                            <a:ext cx="1866899" cy="1066800"/>
                          </a:xfrm>
                          <a:prstGeom prst="rect">
                            <a:avLst/>
                          </a:prstGeom>
                        </pic:spPr>
                      </pic:pic>
                    </a:graphicData>
                  </a:graphic>
                </wp:inline>
              </w:drawing>
            </w:r>
            <w:r>
              <w:rPr>
                <w:rFonts w:ascii="Times New Roman" w:hAnsi="Times New Roman"/>
                <w:sz w:val="24"/>
              </w:rPr>
              <w:t>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含油量控制在</w:t>
            </w:r>
            <w:r>
              <w:rPr>
                <w:rFonts w:ascii="Times New Roman" w:hAnsi="Times New Roman"/>
                <w:sz w:val="24"/>
              </w:rPr>
              <w:t>3PPM</w:t>
            </w:r>
            <w:r>
              <w:rPr>
                <w:rFonts w:ascii="宋体" w:hAnsi="宋体"/>
                <w:sz w:val="24"/>
              </w:rPr>
              <w:t>以下，压缩空气含油量控制在理想范围内，滤油效果极佳。</w:t>
            </w:r>
          </w:p>
        </w:tc>
      </w:tr>
      <w:tr w:rsidR="0080594E">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rFonts w:ascii="宋体" w:hAnsi="宋体"/>
                <w:sz w:val="24"/>
              </w:rPr>
              <w:t>空气过滤器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center"/>
            </w:pPr>
            <w:r>
              <w:rPr>
                <w:noProof/>
              </w:rPr>
              <w:drawing>
                <wp:inline distT="0" distB="0" distL="0" distR="0">
                  <wp:extent cx="1524000" cy="1295400"/>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a:picLocks noChangeAspect="1" noChangeArrowheads="1"/>
                          </pic:cNvPicPr>
                        </pic:nvPicPr>
                        <pic:blipFill>
                          <a:blip r:embed="rId42"/>
                          <a:srcRect/>
                          <a:stretch>
                            <a:fillRect/>
                          </a:stretch>
                        </pic:blipFill>
                        <pic:spPr bwMode="auto">
                          <a:xfrm>
                            <a:off x="0" y="0"/>
                            <a:ext cx="1524000" cy="1295400"/>
                          </a:xfrm>
                          <a:prstGeom prst="rect">
                            <a:avLst/>
                          </a:prstGeom>
                        </pic:spPr>
                      </pic:pic>
                    </a:graphicData>
                  </a:graphic>
                </wp:inline>
              </w:drawing>
            </w:r>
            <w:r>
              <w:rPr>
                <w:rFonts w:ascii="Times New Roman" w:hAnsi="Times New Roman"/>
                <w:sz w:val="24"/>
              </w:rPr>
              <w:t xml:space="preserve">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80594E" w:rsidRDefault="000C39A3">
            <w:pPr>
              <w:jc w:val="both"/>
            </w:pPr>
            <w:r>
              <w:rPr>
                <w:rFonts w:ascii="宋体" w:hAnsi="宋体"/>
                <w:sz w:val="24"/>
              </w:rPr>
              <w:t>过滤空气中的细微粒子，保证进入压缩室的空气质量，延长主机寿命。</w:t>
            </w:r>
          </w:p>
        </w:tc>
      </w:tr>
    </w:tbl>
    <w:p w:rsidR="0080594E" w:rsidRDefault="000C39A3">
      <w:pPr>
        <w:ind w:firstLine="481"/>
        <w:jc w:val="both"/>
      </w:pPr>
      <w:r>
        <w:rPr>
          <w:rFonts w:ascii="宋体" w:hAnsi="宋体"/>
          <w:b/>
          <w:sz w:val="24"/>
        </w:rPr>
        <w:t>（</w:t>
      </w:r>
      <w:r>
        <w:rPr>
          <w:rFonts w:ascii="Times New Roman" w:hAnsi="Times New Roman"/>
          <w:b/>
          <w:sz w:val="24"/>
        </w:rPr>
        <w:t>3</w:t>
      </w:r>
      <w:r>
        <w:rPr>
          <w:rFonts w:ascii="宋体" w:hAnsi="宋体"/>
          <w:b/>
          <w:sz w:val="24"/>
        </w:rPr>
        <w:t>）主要经营模式</w:t>
      </w:r>
    </w:p>
    <w:p w:rsidR="0080594E" w:rsidRDefault="000C39A3">
      <w:pPr>
        <w:ind w:firstLine="481"/>
        <w:jc w:val="both"/>
      </w:pPr>
      <w:r>
        <w:rPr>
          <w:rFonts w:ascii="Times New Roman" w:hAnsi="Times New Roman"/>
          <w:b/>
          <w:sz w:val="24"/>
        </w:rPr>
        <w:t>1</w:t>
      </w:r>
      <w:r>
        <w:rPr>
          <w:rFonts w:ascii="宋体" w:hAnsi="宋体"/>
          <w:b/>
          <w:sz w:val="24"/>
        </w:rPr>
        <w:t>、</w:t>
      </w:r>
      <w:r>
        <w:rPr>
          <w:rFonts w:ascii="Times New Roman" w:hAnsi="Times New Roman"/>
          <w:b/>
          <w:sz w:val="24"/>
        </w:rPr>
        <w:t xml:space="preserve"> </w:t>
      </w:r>
      <w:r>
        <w:rPr>
          <w:rFonts w:ascii="宋体" w:hAnsi="宋体"/>
          <w:b/>
          <w:sz w:val="24"/>
        </w:rPr>
        <w:t>研发模式</w:t>
      </w:r>
    </w:p>
    <w:p w:rsidR="0080594E" w:rsidRDefault="000C39A3" w:rsidP="003A05C1">
      <w:pPr>
        <w:spacing w:line="360" w:lineRule="auto"/>
        <w:ind w:firstLine="479"/>
        <w:jc w:val="both"/>
      </w:pPr>
      <w:r>
        <w:rPr>
          <w:rFonts w:ascii="宋体" w:hAnsi="宋体"/>
          <w:sz w:val="24"/>
        </w:rPr>
        <w:t>公司研发工作以市场需求和公司战略规划为导向，通过对市场未来发展趋势的分析，确定市场需求较大的产品类型，有针对性地进行技术研究和产品研发。研发模式以自主研发为主，并在部分新产品开发方面与国内外技术型机构进行合作开发。公司研发部门根据公司总体规划和各部门反馈情况，制定研发规划、组织设计、</w:t>
      </w:r>
      <w:r>
        <w:rPr>
          <w:rFonts w:ascii="Times New Roman" w:hAnsi="Times New Roman"/>
          <w:sz w:val="24"/>
        </w:rPr>
        <w:t xml:space="preserve"> </w:t>
      </w:r>
      <w:r>
        <w:rPr>
          <w:rFonts w:ascii="宋体" w:hAnsi="宋体"/>
          <w:sz w:val="24"/>
        </w:rPr>
        <w:t>实施新设备、新技术的研发项目。</w:t>
      </w:r>
    </w:p>
    <w:p w:rsidR="0080594E" w:rsidRDefault="000C39A3">
      <w:pPr>
        <w:ind w:firstLine="481"/>
        <w:jc w:val="both"/>
      </w:pPr>
      <w:r>
        <w:rPr>
          <w:rFonts w:ascii="Times New Roman" w:hAnsi="Times New Roman"/>
          <w:b/>
          <w:sz w:val="24"/>
        </w:rPr>
        <w:t>2</w:t>
      </w:r>
      <w:r>
        <w:rPr>
          <w:rFonts w:ascii="宋体" w:hAnsi="宋体"/>
          <w:b/>
          <w:sz w:val="24"/>
        </w:rPr>
        <w:t>、采购模式</w:t>
      </w:r>
    </w:p>
    <w:p w:rsidR="0080594E" w:rsidRDefault="000C39A3" w:rsidP="003A05C1">
      <w:pPr>
        <w:spacing w:line="360" w:lineRule="auto"/>
        <w:ind w:firstLine="479"/>
        <w:jc w:val="both"/>
      </w:pPr>
      <w:r>
        <w:rPr>
          <w:rFonts w:ascii="宋体" w:hAnsi="宋体"/>
          <w:sz w:val="24"/>
        </w:rPr>
        <w:t>公司采购模式为</w:t>
      </w:r>
      <w:r>
        <w:rPr>
          <w:rFonts w:ascii="Times New Roman" w:hAnsi="Times New Roman"/>
          <w:sz w:val="24"/>
        </w:rPr>
        <w:t>“</w:t>
      </w:r>
      <w:r>
        <w:rPr>
          <w:rFonts w:ascii="宋体" w:hAnsi="宋体"/>
          <w:sz w:val="24"/>
        </w:rPr>
        <w:t>按需采购</w:t>
      </w:r>
      <w:r>
        <w:rPr>
          <w:rFonts w:ascii="Times New Roman" w:hAnsi="Times New Roman"/>
          <w:sz w:val="24"/>
        </w:rPr>
        <w:t>”</w:t>
      </w:r>
      <w:r>
        <w:rPr>
          <w:rFonts w:ascii="宋体" w:hAnsi="宋体"/>
          <w:sz w:val="24"/>
        </w:rPr>
        <w:t>模式。生产部门根据具体订单需求和生产计划安排，制定出请购需求清单，采购部门根据请购需求生成采购订单，并通过公司的供应商平台将订单需求传递给各供应商，各供应商依照订单内容及时配送物料。</w:t>
      </w:r>
    </w:p>
    <w:p w:rsidR="0080594E" w:rsidRDefault="000C39A3">
      <w:pPr>
        <w:ind w:firstLine="481"/>
        <w:jc w:val="both"/>
      </w:pPr>
      <w:r>
        <w:rPr>
          <w:rFonts w:ascii="Times New Roman" w:hAnsi="Times New Roman"/>
          <w:b/>
          <w:sz w:val="24"/>
        </w:rPr>
        <w:t>3</w:t>
      </w:r>
      <w:r>
        <w:rPr>
          <w:rFonts w:ascii="宋体" w:hAnsi="宋体"/>
          <w:b/>
          <w:sz w:val="24"/>
        </w:rPr>
        <w:t>、生产模式</w:t>
      </w:r>
    </w:p>
    <w:p w:rsidR="0080594E" w:rsidRDefault="000C39A3" w:rsidP="003A05C1">
      <w:pPr>
        <w:spacing w:line="360" w:lineRule="auto"/>
        <w:ind w:firstLine="479"/>
        <w:jc w:val="both"/>
      </w:pPr>
      <w:r>
        <w:rPr>
          <w:rFonts w:ascii="宋体" w:hAnsi="宋体"/>
          <w:sz w:val="24"/>
        </w:rPr>
        <w:t>结合自身与行业特点，公司采取</w:t>
      </w:r>
      <w:r>
        <w:rPr>
          <w:rFonts w:ascii="Times New Roman" w:hAnsi="Times New Roman"/>
          <w:sz w:val="24"/>
        </w:rPr>
        <w:t>“</w:t>
      </w:r>
      <w:r>
        <w:rPr>
          <w:rFonts w:ascii="宋体" w:hAnsi="宋体"/>
          <w:sz w:val="24"/>
        </w:rPr>
        <w:t>安全库存</w:t>
      </w:r>
      <w:r>
        <w:rPr>
          <w:rFonts w:ascii="Times New Roman" w:hAnsi="Times New Roman"/>
          <w:sz w:val="24"/>
        </w:rPr>
        <w:t>”</w:t>
      </w:r>
      <w:r>
        <w:rPr>
          <w:rFonts w:ascii="宋体" w:hAnsi="宋体"/>
          <w:sz w:val="24"/>
        </w:rPr>
        <w:t>与</w:t>
      </w:r>
      <w:r>
        <w:rPr>
          <w:rFonts w:ascii="Times New Roman" w:hAnsi="Times New Roman"/>
          <w:sz w:val="24"/>
        </w:rPr>
        <w:t>“</w:t>
      </w:r>
      <w:r>
        <w:rPr>
          <w:rFonts w:ascii="宋体" w:hAnsi="宋体"/>
          <w:sz w:val="24"/>
        </w:rPr>
        <w:t>订单生产</w:t>
      </w:r>
      <w:r>
        <w:rPr>
          <w:rFonts w:ascii="Times New Roman" w:hAnsi="Times New Roman"/>
          <w:sz w:val="24"/>
        </w:rPr>
        <w:t>”</w:t>
      </w:r>
      <w:r>
        <w:rPr>
          <w:rFonts w:ascii="宋体" w:hAnsi="宋体"/>
          <w:sz w:val="24"/>
        </w:rPr>
        <w:t>相结合的生产模式。为保证生产过程的有序进行以及按计划及时完成交货任务，公司建立相关制度，明确各环节的部门责任：计划课负责根据销售预测和客户订单的品种、规格、交期等要求编制生产进度计划和物料请购计划，并对生产计划的实施过程进行管控；采购部门根据物料请购计划进行采购；生产车间按流程生产，对于生产过程中出现的异常情况及时反馈；同时，公司还设置了品管课对产品质量全面把关。</w:t>
      </w:r>
    </w:p>
    <w:p w:rsidR="0080594E" w:rsidRDefault="000C39A3">
      <w:pPr>
        <w:ind w:firstLine="481"/>
        <w:jc w:val="both"/>
      </w:pPr>
      <w:r>
        <w:rPr>
          <w:rFonts w:ascii="Times New Roman" w:hAnsi="Times New Roman"/>
          <w:b/>
          <w:sz w:val="24"/>
        </w:rPr>
        <w:lastRenderedPageBreak/>
        <w:t>4</w:t>
      </w:r>
      <w:r>
        <w:rPr>
          <w:rFonts w:ascii="宋体" w:hAnsi="宋体"/>
          <w:b/>
          <w:sz w:val="24"/>
        </w:rPr>
        <w:t>、销售模式</w:t>
      </w:r>
    </w:p>
    <w:p w:rsidR="0080594E" w:rsidRDefault="000C39A3" w:rsidP="003A05C1">
      <w:pPr>
        <w:spacing w:line="360" w:lineRule="auto"/>
        <w:ind w:firstLine="479"/>
        <w:jc w:val="both"/>
      </w:pPr>
      <w:r>
        <w:rPr>
          <w:rFonts w:ascii="宋体" w:hAnsi="宋体"/>
          <w:sz w:val="24"/>
        </w:rPr>
        <w:t>根据是否将产品直接销售给终端用户，公司的销售模式分为经销和直销。</w:t>
      </w:r>
    </w:p>
    <w:p w:rsidR="0080594E" w:rsidRDefault="000C39A3" w:rsidP="003A05C1">
      <w:pPr>
        <w:spacing w:line="360" w:lineRule="auto"/>
        <w:ind w:firstLine="479"/>
        <w:jc w:val="both"/>
      </w:pPr>
      <w:r>
        <w:rPr>
          <w:rFonts w:ascii="宋体" w:hAnsi="宋体"/>
          <w:sz w:val="24"/>
        </w:rPr>
        <w:t>①</w:t>
      </w:r>
      <w:r>
        <w:rPr>
          <w:rFonts w:ascii="Times New Roman" w:hAnsi="Times New Roman"/>
          <w:sz w:val="24"/>
        </w:rPr>
        <w:t xml:space="preserve"> </w:t>
      </w:r>
      <w:r>
        <w:rPr>
          <w:rFonts w:ascii="宋体" w:hAnsi="宋体"/>
          <w:sz w:val="24"/>
        </w:rPr>
        <w:t>经销模式</w:t>
      </w:r>
      <w:r>
        <w:rPr>
          <w:rFonts w:ascii="Times New Roman" w:hAnsi="Times New Roman"/>
          <w:sz w:val="24"/>
        </w:rPr>
        <w:t xml:space="preserve"> </w:t>
      </w:r>
    </w:p>
    <w:p w:rsidR="0080594E" w:rsidRDefault="000C39A3" w:rsidP="003A05C1">
      <w:pPr>
        <w:spacing w:line="360" w:lineRule="auto"/>
        <w:ind w:firstLine="479"/>
        <w:jc w:val="both"/>
      </w:pPr>
      <w:r>
        <w:rPr>
          <w:rFonts w:ascii="宋体" w:hAnsi="宋体"/>
          <w:sz w:val="24"/>
        </w:rPr>
        <w:t>经销模式是指公司与经销商签署买断式经销合同，将产品销售给经销商，经销商再将产品自行销售。</w:t>
      </w:r>
    </w:p>
    <w:p w:rsidR="0080594E" w:rsidRDefault="000C39A3" w:rsidP="003A05C1">
      <w:pPr>
        <w:spacing w:line="360" w:lineRule="auto"/>
        <w:ind w:firstLine="479"/>
        <w:jc w:val="both"/>
      </w:pPr>
      <w:r>
        <w:rPr>
          <w:rFonts w:ascii="宋体" w:hAnsi="宋体"/>
          <w:sz w:val="24"/>
        </w:rPr>
        <w:t>空气压缩机下游应用领域广泛、客户群体庞大、分布范围广；作为工业生产的基础动力设备，空气压缩机售后保养维修需求较大，用户要求及时、专业的售后服务。针对空气压缩机行业的这些特点，公司主要采取经销的销售模式，由经销商开拓终端市场并就近向用户提供及时、专业的售后服务。</w:t>
      </w:r>
    </w:p>
    <w:p w:rsidR="0080594E" w:rsidRDefault="000C39A3" w:rsidP="003A05C1">
      <w:pPr>
        <w:spacing w:line="360" w:lineRule="auto"/>
        <w:ind w:firstLine="479"/>
        <w:jc w:val="both"/>
      </w:pPr>
      <w:r>
        <w:rPr>
          <w:rFonts w:ascii="宋体" w:hAnsi="宋体"/>
          <w:sz w:val="24"/>
        </w:rPr>
        <w:t>②</w:t>
      </w:r>
      <w:r>
        <w:rPr>
          <w:rFonts w:ascii="Times New Roman" w:hAnsi="Times New Roman"/>
          <w:sz w:val="24"/>
        </w:rPr>
        <w:t xml:space="preserve"> </w:t>
      </w:r>
      <w:r>
        <w:rPr>
          <w:rFonts w:ascii="宋体" w:hAnsi="宋体"/>
          <w:sz w:val="24"/>
        </w:rPr>
        <w:t>直销模式</w:t>
      </w:r>
      <w:r>
        <w:rPr>
          <w:rFonts w:ascii="Times New Roman" w:hAnsi="Times New Roman"/>
          <w:sz w:val="24"/>
        </w:rPr>
        <w:t xml:space="preserve"> </w:t>
      </w:r>
    </w:p>
    <w:p w:rsidR="0080594E" w:rsidRDefault="000C39A3" w:rsidP="003A05C1">
      <w:pPr>
        <w:spacing w:line="360" w:lineRule="auto"/>
        <w:ind w:firstLine="479"/>
        <w:jc w:val="both"/>
      </w:pPr>
      <w:r>
        <w:rPr>
          <w:rFonts w:ascii="宋体" w:hAnsi="宋体"/>
          <w:sz w:val="24"/>
        </w:rPr>
        <w:t>直销模式是指公司直接与使用公司产品的企业签署销售合同，并直接完成销售。少量终端大客户根据自身的信用政策情况、需求等直接与公司签订合同，通过直接合作，公司可以协助大客户在全国各地协调售后服务等各项需求。 </w:t>
      </w:r>
    </w:p>
    <w:p w:rsidR="0080594E" w:rsidRDefault="000C39A3">
      <w:pPr>
        <w:ind w:firstLine="481"/>
        <w:jc w:val="both"/>
      </w:pPr>
      <w:r>
        <w:rPr>
          <w:rFonts w:ascii="宋体" w:hAnsi="宋体"/>
          <w:b/>
          <w:sz w:val="24"/>
        </w:rPr>
        <w:t>（</w:t>
      </w:r>
      <w:r>
        <w:rPr>
          <w:rFonts w:ascii="Times New Roman" w:hAnsi="Times New Roman"/>
          <w:b/>
          <w:sz w:val="24"/>
        </w:rPr>
        <w:t>4</w:t>
      </w:r>
      <w:r>
        <w:rPr>
          <w:rFonts w:ascii="宋体" w:hAnsi="宋体"/>
          <w:b/>
          <w:sz w:val="24"/>
        </w:rPr>
        <w:t>）公司的行业地位和优势</w:t>
      </w:r>
    </w:p>
    <w:p w:rsidR="0080594E" w:rsidRDefault="000C39A3" w:rsidP="003A05C1">
      <w:pPr>
        <w:spacing w:line="360" w:lineRule="auto"/>
        <w:ind w:firstLine="479"/>
        <w:jc w:val="both"/>
      </w:pPr>
      <w:r>
        <w:rPr>
          <w:rFonts w:ascii="宋体" w:hAnsi="宋体"/>
          <w:sz w:val="24"/>
        </w:rPr>
        <w:t>公司是国家专精特新</w:t>
      </w:r>
      <w:r>
        <w:rPr>
          <w:rFonts w:ascii="Times New Roman" w:hAnsi="Times New Roman"/>
          <w:sz w:val="24"/>
        </w:rPr>
        <w:t>“</w:t>
      </w:r>
      <w:r>
        <w:rPr>
          <w:rFonts w:ascii="宋体" w:hAnsi="宋体"/>
          <w:sz w:val="24"/>
        </w:rPr>
        <w:t>小巨人</w:t>
      </w:r>
      <w:r>
        <w:rPr>
          <w:rFonts w:ascii="Times New Roman" w:hAnsi="Times New Roman"/>
          <w:sz w:val="24"/>
        </w:rPr>
        <w:t>”</w:t>
      </w:r>
      <w:r>
        <w:rPr>
          <w:rFonts w:ascii="宋体" w:hAnsi="宋体"/>
          <w:sz w:val="24"/>
        </w:rPr>
        <w:t>企业、高新技术企业及福建省企业技术中心，是团体标准《压缩空气站节能设计指南》（T/CGMA 033002-2020）、《容积式空气压缩机产品铭牌、说明书、宣传文件明示要求》（T/CGMA 0301-2021）、《绿色设计产品评价技术规范 一般用喷油回转空气压缩机》（T/CMIF 157-2022）的起草单位之一，同时是国内少数掌握螺杆空压机核心技术的厂家之一。公司始终致力于不断提升设备能效水平的技术创新，</w:t>
      </w:r>
      <w:r>
        <w:rPr>
          <w:rFonts w:ascii="Times New Roman" w:hAnsi="Times New Roman"/>
          <w:sz w:val="24"/>
        </w:rPr>
        <w:t>2013</w:t>
      </w:r>
      <w:r>
        <w:rPr>
          <w:rFonts w:ascii="宋体" w:hAnsi="宋体"/>
          <w:sz w:val="24"/>
        </w:rPr>
        <w:t>年压缩机列入工信部</w:t>
      </w:r>
      <w:r>
        <w:rPr>
          <w:rFonts w:ascii="Times New Roman" w:hAnsi="Times New Roman"/>
          <w:sz w:val="24"/>
        </w:rPr>
        <w:t>“</w:t>
      </w:r>
      <w:r>
        <w:rPr>
          <w:rFonts w:ascii="宋体" w:hAnsi="宋体"/>
          <w:sz w:val="24"/>
        </w:rPr>
        <w:t>能效之星</w:t>
      </w:r>
      <w:r>
        <w:rPr>
          <w:rFonts w:ascii="Times New Roman" w:hAnsi="Times New Roman"/>
          <w:sz w:val="24"/>
        </w:rPr>
        <w:t>”</w:t>
      </w:r>
      <w:r>
        <w:rPr>
          <w:rFonts w:ascii="宋体" w:hAnsi="宋体"/>
          <w:sz w:val="24"/>
        </w:rPr>
        <w:t>评选范围以来，公司产品凭借</w:t>
      </w:r>
      <w:r>
        <w:rPr>
          <w:rFonts w:ascii="Times New Roman" w:hAnsi="Times New Roman"/>
          <w:sz w:val="24"/>
        </w:rPr>
        <w:t>“</w:t>
      </w:r>
      <w:r>
        <w:rPr>
          <w:rFonts w:ascii="宋体" w:hAnsi="宋体"/>
          <w:sz w:val="24"/>
        </w:rPr>
        <w:t>优于能效一级</w:t>
      </w:r>
      <w:r>
        <w:rPr>
          <w:rFonts w:ascii="Times New Roman" w:hAnsi="Times New Roman"/>
          <w:sz w:val="24"/>
        </w:rPr>
        <w:t>”</w:t>
      </w:r>
      <w:r>
        <w:rPr>
          <w:rFonts w:ascii="宋体" w:hAnsi="宋体"/>
          <w:sz w:val="24"/>
        </w:rPr>
        <w:t>的领先能效水平多次入选工信部《</w:t>
      </w:r>
      <w:r>
        <w:rPr>
          <w:rFonts w:ascii="Times New Roman" w:hAnsi="Times New Roman"/>
          <w:sz w:val="24"/>
        </w:rPr>
        <w:t>“</w:t>
      </w:r>
      <w:r>
        <w:rPr>
          <w:rFonts w:ascii="宋体" w:hAnsi="宋体"/>
          <w:sz w:val="24"/>
        </w:rPr>
        <w:t>能效之星</w:t>
      </w:r>
      <w:r>
        <w:rPr>
          <w:rFonts w:ascii="Times New Roman" w:hAnsi="Times New Roman"/>
          <w:sz w:val="24"/>
        </w:rPr>
        <w:t>”</w:t>
      </w:r>
      <w:r>
        <w:rPr>
          <w:rFonts w:ascii="宋体" w:hAnsi="宋体"/>
          <w:sz w:val="24"/>
        </w:rPr>
        <w:t>产品目录》，入选数量位居行业第一；</w:t>
      </w:r>
      <w:r>
        <w:rPr>
          <w:rFonts w:ascii="Times New Roman" w:hAnsi="Times New Roman"/>
          <w:sz w:val="24"/>
        </w:rPr>
        <w:t xml:space="preserve">2017 </w:t>
      </w:r>
      <w:r>
        <w:rPr>
          <w:rFonts w:ascii="宋体" w:hAnsi="宋体"/>
          <w:sz w:val="24"/>
        </w:rPr>
        <w:t>年至</w:t>
      </w:r>
      <w:r>
        <w:rPr>
          <w:rFonts w:ascii="Times New Roman" w:hAnsi="Times New Roman"/>
          <w:sz w:val="24"/>
        </w:rPr>
        <w:t xml:space="preserve"> 2022</w:t>
      </w:r>
      <w:r>
        <w:rPr>
          <w:rFonts w:ascii="宋体" w:hAnsi="宋体"/>
          <w:sz w:val="24"/>
        </w:rPr>
        <w:t>年，公司产品凭借优异的能效水平入选工信部《国家工业节能技术装备推荐目录》，入选数量位居行业第一。公司被工信部认定为“绿色工厂”、“绿色供应链管理企业”、“绿色设计产品企业”，公司是唯一一家同时获得三个国家级“绿色制造”奖项的压缩机企业。</w:t>
      </w:r>
    </w:p>
    <w:p w:rsidR="0080594E" w:rsidRDefault="000C39A3">
      <w:pPr>
        <w:pStyle w:val="2"/>
        <w:spacing w:before="300" w:after="300" w:line="320" w:lineRule="exact"/>
        <w:rPr>
          <w:rFonts w:ascii="宋体" w:eastAsia="宋体" w:hAnsi="宋体" w:cs="宋体"/>
          <w:b/>
          <w:bCs/>
          <w:sz w:val="24"/>
          <w:szCs w:val="24"/>
        </w:rPr>
      </w:pPr>
      <w:bookmarkStart w:id="16" w:name="_Toc988904"/>
      <w:r>
        <w:rPr>
          <w:rFonts w:ascii="宋体" w:eastAsia="宋体" w:hAnsi="宋体" w:cs="宋体"/>
          <w:b/>
          <w:bCs/>
          <w:sz w:val="24"/>
          <w:szCs w:val="24"/>
        </w:rPr>
        <w:t>三、核心竞争力分析</w:t>
      </w:r>
      <w:bookmarkEnd w:id="16"/>
    </w:p>
    <w:p w:rsidR="0080594E" w:rsidRDefault="000C39A3">
      <w:pPr>
        <w:ind w:firstLine="481"/>
        <w:jc w:val="both"/>
      </w:pPr>
      <w:r>
        <w:rPr>
          <w:rFonts w:ascii="Times New Roman" w:hAnsi="Times New Roman"/>
          <w:b/>
          <w:sz w:val="24"/>
        </w:rPr>
        <w:t>1</w:t>
      </w:r>
      <w:r>
        <w:rPr>
          <w:rFonts w:ascii="宋体" w:hAnsi="宋体"/>
          <w:b/>
          <w:sz w:val="24"/>
        </w:rPr>
        <w:t>、品牌优势</w:t>
      </w:r>
    </w:p>
    <w:p w:rsidR="0080594E" w:rsidRDefault="000C39A3" w:rsidP="003A05C1">
      <w:pPr>
        <w:spacing w:line="360" w:lineRule="auto"/>
        <w:ind w:firstLine="479"/>
        <w:jc w:val="both"/>
      </w:pPr>
      <w:r>
        <w:rPr>
          <w:rFonts w:ascii="宋体" w:hAnsi="宋体"/>
          <w:sz w:val="24"/>
        </w:rPr>
        <w:t>公司成立</w:t>
      </w:r>
      <w:r>
        <w:rPr>
          <w:rFonts w:ascii="Times New Roman" w:hAnsi="Times New Roman"/>
          <w:sz w:val="24"/>
        </w:rPr>
        <w:t>30</w:t>
      </w:r>
      <w:r>
        <w:rPr>
          <w:rFonts w:ascii="宋体" w:hAnsi="宋体"/>
          <w:sz w:val="24"/>
        </w:rPr>
        <w:t>多年来，始终重视品牌建设，</w:t>
      </w:r>
      <w:r>
        <w:rPr>
          <w:rFonts w:ascii="Times New Roman" w:hAnsi="Times New Roman"/>
          <w:sz w:val="24"/>
        </w:rPr>
        <w:t xml:space="preserve"> 1994</w:t>
      </w:r>
      <w:r>
        <w:rPr>
          <w:rFonts w:ascii="宋体" w:hAnsi="宋体"/>
          <w:sz w:val="24"/>
        </w:rPr>
        <w:t>年即注册了</w:t>
      </w:r>
      <w:r>
        <w:rPr>
          <w:rFonts w:ascii="Times New Roman" w:hAnsi="Times New Roman"/>
          <w:sz w:val="24"/>
        </w:rPr>
        <w:t xml:space="preserve">“ </w:t>
      </w:r>
      <w:r>
        <w:rPr>
          <w:rFonts w:ascii="宋体" w:hAnsi="宋体"/>
          <w:sz w:val="24"/>
        </w:rPr>
        <w:t>捷豹</w:t>
      </w:r>
      <w:r>
        <w:rPr>
          <w:rFonts w:ascii="Times New Roman" w:hAnsi="Times New Roman"/>
          <w:sz w:val="24"/>
        </w:rPr>
        <w:t xml:space="preserve"> JAGUAR”</w:t>
      </w:r>
      <w:r>
        <w:rPr>
          <w:rFonts w:ascii="宋体" w:hAnsi="宋体"/>
          <w:sz w:val="24"/>
        </w:rPr>
        <w:t>商标，从产品质量、品牌宣传、市场定价等方面着力，持续打造</w:t>
      </w:r>
      <w:r>
        <w:rPr>
          <w:rFonts w:ascii="Times New Roman" w:hAnsi="Times New Roman"/>
          <w:sz w:val="24"/>
        </w:rPr>
        <w:t xml:space="preserve"> “</w:t>
      </w:r>
      <w:r>
        <w:rPr>
          <w:rFonts w:ascii="宋体" w:hAnsi="宋体"/>
          <w:sz w:val="24"/>
        </w:rPr>
        <w:t>捷豹</w:t>
      </w:r>
      <w:r>
        <w:rPr>
          <w:rFonts w:ascii="Times New Roman" w:hAnsi="Times New Roman"/>
          <w:sz w:val="24"/>
        </w:rPr>
        <w:t xml:space="preserve"> JAGUAR”</w:t>
      </w:r>
      <w:r>
        <w:rPr>
          <w:rFonts w:ascii="宋体" w:hAnsi="宋体"/>
          <w:sz w:val="24"/>
        </w:rPr>
        <w:t>的国产高端空压机品牌形象。凭借多年的沉淀，公司旗下</w:t>
      </w:r>
      <w:r>
        <w:rPr>
          <w:rFonts w:ascii="Times New Roman" w:hAnsi="Times New Roman"/>
          <w:sz w:val="24"/>
        </w:rPr>
        <w:t xml:space="preserve"> “</w:t>
      </w:r>
      <w:r>
        <w:rPr>
          <w:rFonts w:ascii="宋体" w:hAnsi="宋体"/>
          <w:sz w:val="24"/>
        </w:rPr>
        <w:t>捷豹</w:t>
      </w:r>
      <w:r>
        <w:rPr>
          <w:rFonts w:ascii="Times New Roman" w:hAnsi="Times New Roman"/>
          <w:sz w:val="24"/>
        </w:rPr>
        <w:t xml:space="preserve"> JAGUAR”</w:t>
      </w:r>
      <w:r>
        <w:rPr>
          <w:rFonts w:ascii="宋体" w:hAnsi="宋体"/>
          <w:sz w:val="24"/>
        </w:rPr>
        <w:t>品牌已成为业内知名品牌，获得福建省著名商标、福建名牌产品、厦门市优质品牌、厦门市著名商标等多项荣誉。</w:t>
      </w:r>
    </w:p>
    <w:p w:rsidR="0080594E" w:rsidRDefault="000C39A3" w:rsidP="003A05C1">
      <w:pPr>
        <w:spacing w:line="360" w:lineRule="auto"/>
        <w:ind w:firstLine="479"/>
        <w:jc w:val="both"/>
      </w:pPr>
      <w:r>
        <w:rPr>
          <w:rFonts w:ascii="宋体" w:hAnsi="宋体"/>
          <w:sz w:val="24"/>
        </w:rPr>
        <w:lastRenderedPageBreak/>
        <w:t>同时，凭借完善的营销网络、对经销商统一有效的管控策略以及全面专业的销售服务，</w:t>
      </w:r>
      <w:r>
        <w:rPr>
          <w:rFonts w:ascii="Times New Roman" w:hAnsi="Times New Roman"/>
          <w:sz w:val="24"/>
        </w:rPr>
        <w:t>“</w:t>
      </w:r>
      <w:r>
        <w:rPr>
          <w:rFonts w:ascii="宋体" w:hAnsi="宋体"/>
          <w:sz w:val="24"/>
        </w:rPr>
        <w:t>捷豹</w:t>
      </w:r>
      <w:r>
        <w:rPr>
          <w:rFonts w:ascii="Times New Roman" w:hAnsi="Times New Roman"/>
          <w:sz w:val="24"/>
        </w:rPr>
        <w:t xml:space="preserve"> JAGUAR”</w:t>
      </w:r>
      <w:r>
        <w:rPr>
          <w:rFonts w:ascii="宋体" w:hAnsi="宋体"/>
          <w:sz w:val="24"/>
        </w:rPr>
        <w:t>品牌受到市场广泛认可，终端客户包括比亚迪、汇川技术、理想汽车、高测股份、中国中车、金牌橱柜、中国旺旺、建霖家居等众多知名企业。</w:t>
      </w:r>
    </w:p>
    <w:p w:rsidR="0080594E" w:rsidRDefault="000C39A3" w:rsidP="003A05C1">
      <w:pPr>
        <w:spacing w:line="360" w:lineRule="auto"/>
        <w:ind w:firstLine="479"/>
        <w:jc w:val="both"/>
      </w:pPr>
      <w:r>
        <w:rPr>
          <w:rFonts w:ascii="宋体" w:hAnsi="宋体"/>
          <w:sz w:val="24"/>
        </w:rPr>
        <w:t>公司在行业内建立起的品牌优势，是公司实现长远发展的重要基础，也是公司不断提升行业地位，取得持续盈利能力的重要条件。</w:t>
      </w:r>
    </w:p>
    <w:p w:rsidR="0080594E" w:rsidRDefault="000C39A3">
      <w:pPr>
        <w:ind w:firstLine="481"/>
        <w:jc w:val="both"/>
      </w:pPr>
      <w:r>
        <w:rPr>
          <w:rFonts w:ascii="Times New Roman" w:hAnsi="Times New Roman"/>
          <w:b/>
          <w:sz w:val="24"/>
        </w:rPr>
        <w:t>2</w:t>
      </w:r>
      <w:r>
        <w:rPr>
          <w:rFonts w:ascii="宋体" w:hAnsi="宋体"/>
          <w:b/>
          <w:sz w:val="24"/>
        </w:rPr>
        <w:t>、销售渠道优势</w:t>
      </w:r>
    </w:p>
    <w:p w:rsidR="0080594E" w:rsidRDefault="000C39A3" w:rsidP="003A05C1">
      <w:pPr>
        <w:spacing w:line="360" w:lineRule="auto"/>
        <w:ind w:firstLine="479"/>
        <w:jc w:val="both"/>
      </w:pPr>
      <w:r>
        <w:rPr>
          <w:rFonts w:ascii="宋体" w:hAnsi="宋体"/>
          <w:sz w:val="24"/>
        </w:rPr>
        <w:t>针对空气压缩机下游应用领域广泛、客户群体庞大、分布范围广的特点，公司采取经销为主的销售模式。上世纪</w:t>
      </w:r>
      <w:r>
        <w:rPr>
          <w:rFonts w:ascii="Times New Roman" w:hAnsi="Times New Roman"/>
          <w:sz w:val="24"/>
        </w:rPr>
        <w:t>90</w:t>
      </w:r>
      <w:r>
        <w:rPr>
          <w:rFonts w:ascii="宋体" w:hAnsi="宋体"/>
          <w:sz w:val="24"/>
        </w:rPr>
        <w:t>年代起，公司即注重建设服务水平专业、品牌忠诚度高的经销商队伍。经过</w:t>
      </w:r>
      <w:r>
        <w:rPr>
          <w:rFonts w:ascii="Times New Roman" w:hAnsi="Times New Roman"/>
          <w:sz w:val="24"/>
        </w:rPr>
        <w:t>30</w:t>
      </w:r>
      <w:r>
        <w:rPr>
          <w:rFonts w:ascii="宋体" w:hAnsi="宋体"/>
          <w:sz w:val="24"/>
        </w:rPr>
        <w:t>多年的耕耘，不断发展、吸收认同</w:t>
      </w:r>
      <w:r>
        <w:rPr>
          <w:rFonts w:ascii="Times New Roman" w:hAnsi="Times New Roman"/>
          <w:sz w:val="24"/>
        </w:rPr>
        <w:t xml:space="preserve"> “</w:t>
      </w:r>
      <w:r>
        <w:rPr>
          <w:rFonts w:ascii="宋体" w:hAnsi="宋体"/>
          <w:sz w:val="24"/>
        </w:rPr>
        <w:t>捷豹</w:t>
      </w:r>
      <w:r>
        <w:rPr>
          <w:rFonts w:ascii="Times New Roman" w:hAnsi="Times New Roman"/>
          <w:sz w:val="24"/>
        </w:rPr>
        <w:t xml:space="preserve"> JAGUAR”</w:t>
      </w:r>
      <w:r>
        <w:rPr>
          <w:rFonts w:ascii="宋体" w:hAnsi="宋体"/>
          <w:sz w:val="24"/>
        </w:rPr>
        <w:t>产品理念的经销商，建设了一支品牌忠诚度高、销售能力强、服务水平专业的经销商队伍，形成了以广东、江苏、浙江、福建、山东等省为中心销售区域，辐射全国的营销网络。</w:t>
      </w:r>
    </w:p>
    <w:p w:rsidR="0080594E" w:rsidRDefault="000C39A3">
      <w:pPr>
        <w:ind w:firstLine="481"/>
        <w:jc w:val="both"/>
      </w:pPr>
      <w:r>
        <w:rPr>
          <w:rFonts w:ascii="Times New Roman" w:hAnsi="Times New Roman"/>
          <w:b/>
          <w:sz w:val="24"/>
        </w:rPr>
        <w:t>3</w:t>
      </w:r>
      <w:r>
        <w:rPr>
          <w:rFonts w:ascii="宋体" w:hAnsi="宋体"/>
          <w:b/>
          <w:sz w:val="24"/>
        </w:rPr>
        <w:t>、研发创新优势</w:t>
      </w:r>
    </w:p>
    <w:p w:rsidR="0080594E" w:rsidRDefault="000C39A3" w:rsidP="003A05C1">
      <w:pPr>
        <w:spacing w:line="360" w:lineRule="auto"/>
        <w:ind w:firstLine="479"/>
        <w:jc w:val="both"/>
      </w:pPr>
      <w:r>
        <w:rPr>
          <w:rFonts w:ascii="宋体" w:hAnsi="宋体"/>
          <w:sz w:val="24"/>
        </w:rPr>
        <w:t>公司自成立以来，始终将研发创新作为发展的核心竞争力，坚持对技术创新的重视和投入。经过多年的建设，公司已组建起专业的研发团队，并形成了紧跟市场形势的研发机制，在技术研究和产品开发方面具备了持续自主创新的能力。</w:t>
      </w:r>
    </w:p>
    <w:p w:rsidR="0080594E" w:rsidRDefault="000C39A3" w:rsidP="003A05C1">
      <w:pPr>
        <w:spacing w:line="360" w:lineRule="auto"/>
        <w:ind w:firstLine="479"/>
        <w:jc w:val="both"/>
      </w:pPr>
      <w:r>
        <w:rPr>
          <w:rFonts w:ascii="宋体" w:hAnsi="宋体"/>
          <w:sz w:val="24"/>
        </w:rPr>
        <w:t>技术方面，公司是国家级专精特新</w:t>
      </w:r>
      <w:r>
        <w:rPr>
          <w:rFonts w:ascii="Times New Roman" w:hAnsi="Times New Roman"/>
          <w:sz w:val="24"/>
        </w:rPr>
        <w:t>“</w:t>
      </w:r>
      <w:r>
        <w:rPr>
          <w:rFonts w:ascii="宋体" w:hAnsi="宋体"/>
          <w:sz w:val="24"/>
        </w:rPr>
        <w:t>小巨人</w:t>
      </w:r>
      <w:r>
        <w:rPr>
          <w:rFonts w:ascii="Times New Roman" w:hAnsi="Times New Roman"/>
          <w:sz w:val="24"/>
        </w:rPr>
        <w:t>”</w:t>
      </w:r>
      <w:r>
        <w:rPr>
          <w:rFonts w:ascii="宋体" w:hAnsi="宋体"/>
          <w:sz w:val="24"/>
        </w:rPr>
        <w:t>企业、高新技术企业、福建省省级企业技术中心、福建省科技小巨人领军企业，同时拥有合肥通用机电检测院认证的能效实验室。截至报告期末，公司共拥有发明专利2项、实用新型专利</w:t>
      </w:r>
      <w:r>
        <w:rPr>
          <w:rFonts w:ascii="Times New Roman" w:hAnsi="Times New Roman"/>
          <w:sz w:val="24"/>
        </w:rPr>
        <w:t>66</w:t>
      </w:r>
      <w:r>
        <w:rPr>
          <w:rFonts w:ascii="宋体" w:hAnsi="宋体"/>
          <w:sz w:val="24"/>
        </w:rPr>
        <w:t>项、外观专利4项，参与制定行业团体标准3项，拥有螺杆式压缩机主机的自主设计、生产能力，掌握</w:t>
      </w:r>
      <w:r>
        <w:rPr>
          <w:rFonts w:ascii="Times New Roman" w:hAnsi="Times New Roman"/>
          <w:sz w:val="24"/>
        </w:rPr>
        <w:t>60</w:t>
      </w:r>
      <w:r>
        <w:rPr>
          <w:rFonts w:ascii="宋体" w:hAnsi="宋体"/>
          <w:sz w:val="24"/>
        </w:rPr>
        <w:t>余种型线，在螺杆式空压机型线设计、节能环保等方面形成了核心技术优势。</w:t>
      </w:r>
    </w:p>
    <w:p w:rsidR="0080594E" w:rsidRDefault="000C39A3" w:rsidP="003A05C1">
      <w:pPr>
        <w:spacing w:line="360" w:lineRule="auto"/>
        <w:ind w:firstLine="479"/>
        <w:jc w:val="both"/>
      </w:pPr>
      <w:r>
        <w:rPr>
          <w:rFonts w:ascii="宋体" w:hAnsi="宋体"/>
          <w:sz w:val="24"/>
        </w:rPr>
        <w:t>产品方面，公司</w:t>
      </w:r>
      <w:r>
        <w:rPr>
          <w:rFonts w:ascii="Times New Roman" w:hAnsi="Times New Roman"/>
          <w:sz w:val="24"/>
        </w:rPr>
        <w:t>2013</w:t>
      </w:r>
      <w:r>
        <w:rPr>
          <w:rFonts w:ascii="宋体" w:hAnsi="宋体"/>
          <w:sz w:val="24"/>
        </w:rPr>
        <w:t>年研发的永磁变频螺杆式空压机，推向市场之后反响显著，销售量快速增长，已成为公司主打产品，技术水平居行业前列；</w:t>
      </w:r>
      <w:r>
        <w:rPr>
          <w:rFonts w:ascii="Times New Roman" w:hAnsi="Times New Roman"/>
          <w:sz w:val="24"/>
        </w:rPr>
        <w:t>2015</w:t>
      </w:r>
      <w:r>
        <w:rPr>
          <w:rFonts w:ascii="宋体" w:hAnsi="宋体"/>
          <w:sz w:val="24"/>
        </w:rPr>
        <w:t>年研发的二级压缩螺杆式空压机，目前已更新至第四代产品，能效提升、节能效果显著；</w:t>
      </w:r>
      <w:r>
        <w:rPr>
          <w:rFonts w:ascii="Times New Roman" w:hAnsi="Times New Roman"/>
          <w:sz w:val="24"/>
        </w:rPr>
        <w:t>2017</w:t>
      </w:r>
      <w:r>
        <w:rPr>
          <w:rFonts w:ascii="宋体" w:hAnsi="宋体"/>
          <w:sz w:val="24"/>
        </w:rPr>
        <w:t>年，公司向市场推出具备物联网功能的空气压缩机，能够有效监控该等空压机的运行状态，及时提出维修保养方案，减少空压机突然停机对用户正常生产的影响。</w:t>
      </w:r>
      <w:r>
        <w:rPr>
          <w:rFonts w:ascii="Times New Roman" w:hAnsi="Times New Roman"/>
          <w:sz w:val="24"/>
        </w:rPr>
        <w:t>2019</w:t>
      </w:r>
      <w:r>
        <w:rPr>
          <w:rFonts w:ascii="宋体" w:hAnsi="宋体"/>
          <w:sz w:val="24"/>
        </w:rPr>
        <w:t>年下半年推出了</w:t>
      </w:r>
      <w:r>
        <w:rPr>
          <w:rFonts w:ascii="Times New Roman" w:hAnsi="Times New Roman"/>
          <w:sz w:val="24"/>
        </w:rPr>
        <w:t>“</w:t>
      </w:r>
      <w:r>
        <w:rPr>
          <w:rFonts w:ascii="宋体" w:hAnsi="宋体"/>
          <w:sz w:val="24"/>
        </w:rPr>
        <w:t>福星</w:t>
      </w:r>
      <w:r>
        <w:rPr>
          <w:rFonts w:ascii="Times New Roman" w:hAnsi="Times New Roman"/>
          <w:sz w:val="24"/>
        </w:rPr>
        <w:t>”</w:t>
      </w:r>
      <w:r>
        <w:rPr>
          <w:rFonts w:ascii="宋体" w:hAnsi="宋体"/>
          <w:sz w:val="24"/>
        </w:rPr>
        <w:t>系列产品，深受市场欢迎。</w:t>
      </w:r>
      <w:r>
        <w:rPr>
          <w:rFonts w:ascii="Times New Roman" w:hAnsi="Times New Roman"/>
          <w:sz w:val="24"/>
        </w:rPr>
        <w:t>2021</w:t>
      </w:r>
      <w:r>
        <w:rPr>
          <w:rFonts w:ascii="宋体" w:hAnsi="宋体"/>
          <w:sz w:val="24"/>
        </w:rPr>
        <w:t>年公司以募投项目为契机，布局了真空泵（VC系列）、无油螺杆机（ZS系列）、离心机（ZTB系列）等应用于新能源、半导体等行业的高端产品。2022年公司高端产品真空泵、无油螺杆机逐渐形成销售，产品得到广泛认可，并将物联网功能的空气压缩机进行优化升级实现全方位的“捷豹智控”（ZK系列），给客户带来更好体验。</w:t>
      </w:r>
    </w:p>
    <w:p w:rsidR="0080594E" w:rsidRDefault="000C39A3">
      <w:pPr>
        <w:ind w:firstLine="479"/>
        <w:jc w:val="center"/>
      </w:pPr>
      <w:r>
        <w:rPr>
          <w:noProof/>
        </w:rPr>
        <w:lastRenderedPageBreak/>
        <w:drawing>
          <wp:inline distT="0" distB="0" distL="0" distR="0">
            <wp:extent cx="5502976" cy="3217258"/>
            <wp:effectExtent l="0" t="0" r="2540" b="254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43"/>
                    <a:srcRect/>
                    <a:stretch>
                      <a:fillRect/>
                    </a:stretch>
                  </pic:blipFill>
                  <pic:spPr bwMode="auto">
                    <a:xfrm>
                      <a:off x="0" y="0"/>
                      <a:ext cx="5523026" cy="3228980"/>
                    </a:xfrm>
                    <a:prstGeom prst="rect">
                      <a:avLst/>
                    </a:prstGeom>
                  </pic:spPr>
                </pic:pic>
              </a:graphicData>
            </a:graphic>
          </wp:inline>
        </w:drawing>
      </w:r>
    </w:p>
    <w:p w:rsidR="0080594E" w:rsidRDefault="000C39A3">
      <w:pPr>
        <w:ind w:firstLine="481"/>
        <w:jc w:val="both"/>
      </w:pPr>
      <w:r>
        <w:rPr>
          <w:rFonts w:ascii="Times New Roman" w:hAnsi="Times New Roman"/>
          <w:b/>
          <w:sz w:val="24"/>
        </w:rPr>
        <w:t>4</w:t>
      </w:r>
      <w:r>
        <w:rPr>
          <w:rFonts w:ascii="宋体" w:hAnsi="宋体"/>
          <w:b/>
          <w:sz w:val="24"/>
        </w:rPr>
        <w:t>、一体化生产优势</w:t>
      </w:r>
    </w:p>
    <w:p w:rsidR="0080594E" w:rsidRDefault="000C39A3" w:rsidP="003A05C1">
      <w:pPr>
        <w:spacing w:line="360" w:lineRule="auto"/>
        <w:ind w:firstLine="479"/>
        <w:jc w:val="both"/>
      </w:pPr>
      <w:r>
        <w:rPr>
          <w:rFonts w:ascii="宋体" w:hAnsi="宋体"/>
          <w:sz w:val="24"/>
        </w:rPr>
        <w:t>公司长期致力于螺杆机的自主研发、生产，对钣金车间、机械加工车间、整机组装车间、仓储等实施信息化改造，进一步提高自动化生产程度，实现了降本增效。公司工艺链条已经涵盖螺杆转子加工、电机转子装配等，使公司产品设计具备工艺实现基础，拥有更大自由度，可以从设计优化、工艺优化等多个维度协同实现产品能效提升、减震降噪等性能优化。公司完全具备对主打产品的自主设计、生产能力，已形成较为明显的一体化生产优势。空压机的一体化生产，有利于提升空压机产品提供空气动力的稳定性和产品质量水平，也是实现标准化生产和国产替代的重要基础。</w:t>
      </w:r>
    </w:p>
    <w:p w:rsidR="0080594E" w:rsidRDefault="000C39A3">
      <w:pPr>
        <w:ind w:firstLine="479"/>
        <w:jc w:val="both"/>
      </w:pPr>
      <w:r>
        <w:rPr>
          <w:noProof/>
        </w:rPr>
        <w:drawing>
          <wp:inline distT="0" distB="0" distL="0" distR="0">
            <wp:extent cx="5375082" cy="3143572"/>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44"/>
                    <a:srcRect/>
                    <a:stretch>
                      <a:fillRect/>
                    </a:stretch>
                  </pic:blipFill>
                  <pic:spPr bwMode="auto">
                    <a:xfrm>
                      <a:off x="0" y="0"/>
                      <a:ext cx="5427826" cy="3174419"/>
                    </a:xfrm>
                    <a:prstGeom prst="rect">
                      <a:avLst/>
                    </a:prstGeom>
                  </pic:spPr>
                </pic:pic>
              </a:graphicData>
            </a:graphic>
          </wp:inline>
        </w:drawing>
      </w:r>
    </w:p>
    <w:p w:rsidR="0080594E" w:rsidRDefault="000C39A3">
      <w:pPr>
        <w:ind w:firstLine="479"/>
        <w:jc w:val="both"/>
      </w:pPr>
      <w:r>
        <w:rPr>
          <w:noProof/>
        </w:rPr>
        <w:lastRenderedPageBreak/>
        <w:drawing>
          <wp:inline distT="0" distB="0" distL="0" distR="0">
            <wp:extent cx="9525" cy="9525"/>
            <wp:effectExtent l="1905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45"/>
                    <a:srcRect/>
                    <a:stretch>
                      <a:fillRect/>
                    </a:stretch>
                  </pic:blipFill>
                  <pic:spPr bwMode="auto">
                    <a:xfrm>
                      <a:off x="0" y="0"/>
                      <a:ext cx="9525" cy="9525"/>
                    </a:xfrm>
                    <a:prstGeom prst="rect">
                      <a:avLst/>
                    </a:prstGeom>
                  </pic:spPr>
                </pic:pic>
              </a:graphicData>
            </a:graphic>
          </wp:inline>
        </w:drawing>
      </w:r>
    </w:p>
    <w:p w:rsidR="0080594E" w:rsidRDefault="000C39A3">
      <w:pPr>
        <w:pStyle w:val="2"/>
        <w:spacing w:before="300" w:after="300" w:line="320" w:lineRule="exact"/>
        <w:rPr>
          <w:rFonts w:ascii="宋体" w:eastAsia="宋体" w:hAnsi="宋体" w:cs="宋体"/>
          <w:b/>
          <w:bCs/>
          <w:sz w:val="24"/>
          <w:szCs w:val="24"/>
        </w:rPr>
      </w:pPr>
      <w:bookmarkStart w:id="17" w:name="_Toc988905"/>
      <w:r>
        <w:rPr>
          <w:rFonts w:ascii="宋体" w:eastAsia="宋体" w:hAnsi="宋体" w:cs="宋体"/>
          <w:b/>
          <w:bCs/>
          <w:sz w:val="24"/>
          <w:szCs w:val="24"/>
        </w:rPr>
        <w:t>四、主营业务分析</w:t>
      </w:r>
      <w:bookmarkEnd w:id="17"/>
    </w:p>
    <w:p w:rsidR="0080594E" w:rsidRDefault="000C39A3">
      <w:pPr>
        <w:pStyle w:val="3"/>
        <w:spacing w:line="280" w:lineRule="exact"/>
        <w:jc w:val="left"/>
        <w:rPr>
          <w:rFonts w:ascii="宋体" w:hAnsi="宋体" w:cs="宋体"/>
          <w:b/>
          <w:bCs/>
        </w:rPr>
      </w:pPr>
      <w:bookmarkStart w:id="18" w:name="_Toc988906"/>
      <w:r>
        <w:rPr>
          <w:rFonts w:ascii="宋体" w:hAnsi="宋体" w:cs="宋体"/>
          <w:b/>
          <w:bCs/>
        </w:rPr>
        <w:t>1、概述</w:t>
      </w:r>
      <w:bookmarkEnd w:id="18"/>
    </w:p>
    <w:p w:rsidR="000C39A3" w:rsidRDefault="000C39A3">
      <w:pPr>
        <w:pStyle w:val="a4"/>
        <w:spacing w:before="0" w:beforeAutospacing="0" w:after="0" w:afterAutospacing="0" w:line="360" w:lineRule="auto"/>
        <w:ind w:firstLine="480"/>
        <w:jc w:val="both"/>
        <w:divId w:val="958025474"/>
      </w:pPr>
      <w:r>
        <w:rPr>
          <w:rFonts w:ascii="Times New Roman" w:hAnsi="Times New Roman" w:cs="Times New Roman"/>
        </w:rPr>
        <w:t>2022</w:t>
      </w:r>
      <w:r>
        <w:rPr>
          <w:rFonts w:hint="eastAsia"/>
        </w:rPr>
        <w:t>年，在国内外经济形势等多方面影响下，公司的原材料供应、物流运输等受到影响，对公司销售产生影响。</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t>报告期内，管理层和全体员工共克难关、共同努力，公司坚持聚焦主业，稳步推进各项业务的开展，加强新产品和新技术的开发力度，扩大技术应用范围。募投项目有序推进，“年产3万台空压机扩产项目”已经按计划投产，并且产生效益；公司已经研发出无油螺杆机并形成销售，未来将继续加快推进无油螺杆空压机产品的销售，无油螺杆空压机可以应用于半导体、光伏、锂电、食品、医药等对空气质量要求较高的行业；同时，公司真空泵产品销售数量成稳健增长的态势。公司的经营业绩继续保持稳健的步伐。</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t>报告期内，公司总体经营情况如下：</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t>（一）主要经营情况</w:t>
      </w:r>
    </w:p>
    <w:p w:rsidR="000C39A3" w:rsidRPr="00A451F5" w:rsidRDefault="000C39A3">
      <w:pPr>
        <w:pStyle w:val="a4"/>
        <w:spacing w:before="0" w:beforeAutospacing="0" w:after="0" w:afterAutospacing="0" w:line="360" w:lineRule="auto"/>
        <w:ind w:firstLine="480"/>
        <w:jc w:val="both"/>
        <w:divId w:val="958025474"/>
        <w:rPr>
          <w:rFonts w:ascii="Times New Roman" w:hAnsi="Times New Roman" w:cs="Times New Roman"/>
        </w:rPr>
      </w:pPr>
      <w:r>
        <w:rPr>
          <w:rFonts w:ascii="Times New Roman" w:hAnsi="Times New Roman" w:cs="Times New Roman"/>
        </w:rPr>
        <w:t>2022</w:t>
      </w:r>
      <w:r w:rsidRPr="00A451F5">
        <w:rPr>
          <w:rFonts w:ascii="Times New Roman" w:hAnsi="Times New Roman" w:cs="Times New Roman" w:hint="eastAsia"/>
        </w:rPr>
        <w:t>年度，公司实现营业收入</w:t>
      </w:r>
      <w:r>
        <w:rPr>
          <w:rFonts w:ascii="Times New Roman" w:hAnsi="Times New Roman" w:cs="Times New Roman"/>
        </w:rPr>
        <w:t>79,488.04</w:t>
      </w:r>
      <w:r w:rsidRPr="00A451F5">
        <w:rPr>
          <w:rFonts w:ascii="Times New Roman" w:hAnsi="Times New Roman" w:cs="Times New Roman" w:hint="eastAsia"/>
        </w:rPr>
        <w:t>万元，比去年同期下降</w:t>
      </w:r>
      <w:r>
        <w:rPr>
          <w:rFonts w:ascii="Times New Roman" w:hAnsi="Times New Roman" w:cs="Times New Roman"/>
        </w:rPr>
        <w:t>11.01%</w:t>
      </w:r>
      <w:r w:rsidRPr="00A451F5">
        <w:rPr>
          <w:rFonts w:ascii="Times New Roman" w:hAnsi="Times New Roman" w:cs="Times New Roman" w:hint="eastAsia"/>
        </w:rPr>
        <w:t>；归属于公司所有者的净利润为</w:t>
      </w:r>
      <w:r>
        <w:rPr>
          <w:rFonts w:ascii="Times New Roman" w:hAnsi="Times New Roman" w:cs="Times New Roman"/>
        </w:rPr>
        <w:t>15,978.26</w:t>
      </w:r>
      <w:r w:rsidRPr="00A451F5">
        <w:rPr>
          <w:rFonts w:ascii="Times New Roman" w:hAnsi="Times New Roman" w:cs="Times New Roman" w:hint="eastAsia"/>
        </w:rPr>
        <w:t>万元，比去年同期下降</w:t>
      </w:r>
      <w:r>
        <w:rPr>
          <w:rFonts w:ascii="Times New Roman" w:hAnsi="Times New Roman" w:cs="Times New Roman"/>
        </w:rPr>
        <w:t>11.62%</w:t>
      </w:r>
      <w:r w:rsidR="00A451F5" w:rsidRPr="00A451F5">
        <w:rPr>
          <w:rFonts w:ascii="Times New Roman" w:hAnsi="Times New Roman" w:cs="Times New Roman" w:hint="eastAsia"/>
        </w:rPr>
        <w:t>；经营活动产生的现金流量净额</w:t>
      </w:r>
      <w:r w:rsidR="00A451F5" w:rsidRPr="00A451F5">
        <w:rPr>
          <w:rFonts w:ascii="Times New Roman" w:hAnsi="Times New Roman" w:cs="Times New Roman" w:hint="eastAsia"/>
        </w:rPr>
        <w:t>23,929.95</w:t>
      </w:r>
      <w:r w:rsidR="00A451F5" w:rsidRPr="00A451F5">
        <w:rPr>
          <w:rFonts w:ascii="Times New Roman" w:hAnsi="Times New Roman" w:cs="Times New Roman" w:hint="eastAsia"/>
        </w:rPr>
        <w:t>万元，比去年同期增长</w:t>
      </w:r>
      <w:r w:rsidR="00A451F5" w:rsidRPr="00A451F5">
        <w:rPr>
          <w:rFonts w:ascii="Times New Roman" w:hAnsi="Times New Roman" w:cs="Times New Roman" w:hint="eastAsia"/>
        </w:rPr>
        <w:t>34.17%</w:t>
      </w:r>
      <w:r w:rsidR="00A451F5" w:rsidRPr="00A451F5">
        <w:rPr>
          <w:rFonts w:ascii="Times New Roman" w:hAnsi="Times New Roman" w:cs="Times New Roman" w:hint="eastAsia"/>
        </w:rPr>
        <w:t>；研发投入金额</w:t>
      </w:r>
      <w:r w:rsidR="00A451F5" w:rsidRPr="00A451F5">
        <w:rPr>
          <w:rFonts w:ascii="Times New Roman" w:hAnsi="Times New Roman" w:cs="Times New Roman" w:hint="eastAsia"/>
        </w:rPr>
        <w:t>4,006.26</w:t>
      </w:r>
      <w:r w:rsidR="00A451F5" w:rsidRPr="00A451F5">
        <w:rPr>
          <w:rFonts w:ascii="Times New Roman" w:hAnsi="Times New Roman" w:cs="Times New Roman" w:hint="eastAsia"/>
        </w:rPr>
        <w:t>万元，研发投入占营业收入比例为</w:t>
      </w:r>
      <w:r w:rsidR="00A451F5" w:rsidRPr="00A451F5">
        <w:rPr>
          <w:rFonts w:ascii="Times New Roman" w:hAnsi="Times New Roman" w:cs="Times New Roman" w:hint="eastAsia"/>
        </w:rPr>
        <w:t>5.04%</w:t>
      </w:r>
      <w:r w:rsidR="00A451F5" w:rsidRPr="00A451F5">
        <w:rPr>
          <w:rFonts w:ascii="Times New Roman" w:hAnsi="Times New Roman" w:cs="Times New Roman" w:hint="eastAsia"/>
        </w:rPr>
        <w:t>。</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t>（二）</w:t>
      </w:r>
      <w:r>
        <w:rPr>
          <w:rFonts w:cs="Times New Roman" w:hint="eastAsia"/>
          <w:color w:val="000000"/>
        </w:rPr>
        <w:t>持续加强公司各项产品业务</w:t>
      </w:r>
    </w:p>
    <w:p w:rsidR="000C39A3" w:rsidRDefault="000C39A3">
      <w:pPr>
        <w:pStyle w:val="a4"/>
        <w:spacing w:before="40" w:beforeAutospacing="0" w:after="40" w:afterAutospacing="0" w:line="360" w:lineRule="auto"/>
        <w:ind w:firstLine="480"/>
        <w:jc w:val="both"/>
        <w:divId w:val="958025474"/>
        <w:rPr>
          <w:rFonts w:ascii="Times New Roman" w:hAnsi="Times New Roman" w:cs="Times New Roman"/>
          <w:sz w:val="18"/>
          <w:szCs w:val="18"/>
        </w:rPr>
      </w:pPr>
      <w:r>
        <w:rPr>
          <w:rFonts w:ascii="Times New Roman" w:hAnsi="Times New Roman" w:cs="Times New Roman"/>
        </w:rPr>
        <w:t>2022</w:t>
      </w:r>
      <w:r>
        <w:rPr>
          <w:rFonts w:cs="Times New Roman" w:hint="eastAsia"/>
        </w:rPr>
        <w:t>年公司优化各压缩机业务板块，包括螺杆机、离心机、活塞机等各个业务板块，从有油机到无油机、从常压压缩机到高压压缩机等，产品矩阵进一步丰富；积极推动真空泵、无油机等高端机型的销售业务，努力拓展相关销售渠道，优化经销商销售能力，开拓高端市场，强化服务网络建设。</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t>（三）从生产端和供应链端打造绿色制造标杆工厂</w:t>
      </w:r>
    </w:p>
    <w:p w:rsidR="000C39A3" w:rsidRDefault="000C39A3">
      <w:pPr>
        <w:pStyle w:val="a4"/>
        <w:spacing w:before="40" w:beforeAutospacing="0" w:after="40" w:afterAutospacing="0" w:line="360" w:lineRule="auto"/>
        <w:ind w:firstLine="480"/>
        <w:jc w:val="both"/>
        <w:divId w:val="958025474"/>
        <w:rPr>
          <w:rFonts w:ascii="Times New Roman" w:hAnsi="Times New Roman" w:cs="Times New Roman"/>
          <w:sz w:val="18"/>
          <w:szCs w:val="18"/>
        </w:rPr>
      </w:pPr>
      <w:r>
        <w:rPr>
          <w:rFonts w:cs="Times New Roman" w:hint="eastAsia"/>
        </w:rPr>
        <w:t>为响应国家碳达峰、碳中和的发展战略，公司持续发展节能环保产品。公司坚持绿色创新发展，坚持生产清洁化、废物资源化、能源低碳化的理念。</w:t>
      </w:r>
      <w:r>
        <w:rPr>
          <w:rFonts w:ascii="Times New Roman" w:hAnsi="Times New Roman" w:cs="Times New Roman"/>
        </w:rPr>
        <w:t>2022</w:t>
      </w:r>
      <w:r>
        <w:rPr>
          <w:rFonts w:cs="Times New Roman" w:hint="eastAsia"/>
        </w:rPr>
        <w:t>年获评国家级</w:t>
      </w:r>
      <w:r>
        <w:rPr>
          <w:rFonts w:ascii="Times New Roman" w:hAnsi="Times New Roman" w:cs="Times New Roman"/>
        </w:rPr>
        <w:t>“</w:t>
      </w:r>
      <w:r>
        <w:rPr>
          <w:rFonts w:cs="Times New Roman" w:hint="eastAsia"/>
        </w:rPr>
        <w:t>绿色产品</w:t>
      </w:r>
      <w:r>
        <w:rPr>
          <w:rFonts w:ascii="Times New Roman" w:hAnsi="Times New Roman" w:cs="Times New Roman"/>
        </w:rPr>
        <w:t>”</w:t>
      </w:r>
      <w:r>
        <w:rPr>
          <w:rFonts w:cs="Times New Roman" w:hint="eastAsia"/>
        </w:rPr>
        <w:t>企业。</w:t>
      </w:r>
    </w:p>
    <w:p w:rsidR="000C39A3" w:rsidRDefault="000C39A3">
      <w:pPr>
        <w:pStyle w:val="a4"/>
        <w:spacing w:before="40" w:beforeAutospacing="0" w:after="40" w:afterAutospacing="0" w:line="360" w:lineRule="auto"/>
        <w:ind w:firstLine="480"/>
        <w:jc w:val="both"/>
        <w:divId w:val="958025474"/>
        <w:rPr>
          <w:rFonts w:ascii="Times New Roman" w:hAnsi="Times New Roman" w:cs="Times New Roman"/>
          <w:sz w:val="18"/>
          <w:szCs w:val="18"/>
        </w:rPr>
      </w:pPr>
      <w:r>
        <w:rPr>
          <w:rFonts w:cs="Times New Roman" w:hint="eastAsia"/>
        </w:rPr>
        <w:t>在供应链端，公司加强和供应商的联系，打造供应商数据信息一体化，优化供应链交期，降低库存比率。</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lastRenderedPageBreak/>
        <w:t>（四）加强技术研发力度，扩大技术应用范围</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ascii="Times New Roman" w:hAnsi="Times New Roman" w:cs="Times New Roman"/>
        </w:rPr>
        <w:t>2022</w:t>
      </w:r>
      <w:r>
        <w:rPr>
          <w:rFonts w:cs="Times New Roman" w:hint="eastAsia"/>
        </w:rPr>
        <w:t>年，公司继续加强研发力度，始终把技术创新作为企业的核心工作。</w:t>
      </w:r>
      <w:r>
        <w:rPr>
          <w:rFonts w:ascii="Times New Roman" w:hAnsi="Times New Roman" w:cs="Times New Roman"/>
        </w:rPr>
        <w:t xml:space="preserve"> </w:t>
      </w:r>
      <w:r>
        <w:rPr>
          <w:rFonts w:cs="Times New Roman" w:hint="eastAsia"/>
        </w:rPr>
        <w:t>积极同专业高校开展产学研合作，加强研发中心的管理和开发流程。完成光伏、半导体等相关行业用的无油产品开发，加快离心式空压机的研发进度。在永磁螺杆空压机方面，继续优化产品升级，推出不同场合及不同压力区间的空压机，覆盖更多领域的技术应用。</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t>（五）推动东亚机械新厂区工程建设</w:t>
      </w:r>
    </w:p>
    <w:p w:rsidR="000C39A3" w:rsidRDefault="000C39A3">
      <w:pPr>
        <w:pStyle w:val="a4"/>
        <w:spacing w:before="0" w:beforeAutospacing="0" w:after="0" w:afterAutospacing="0" w:line="360" w:lineRule="auto"/>
        <w:ind w:firstLine="480"/>
        <w:jc w:val="both"/>
        <w:divId w:val="958025474"/>
        <w:rPr>
          <w:rFonts w:ascii="Times New Roman" w:hAnsi="Times New Roman" w:cs="Times New Roman"/>
          <w:sz w:val="18"/>
          <w:szCs w:val="18"/>
        </w:rPr>
      </w:pPr>
      <w:r>
        <w:rPr>
          <w:rFonts w:cs="Times New Roman" w:hint="eastAsia"/>
        </w:rPr>
        <w:t>为满足公司未来发展对研发、生产用地的需求，公司于2022年3月23日成功竞得编号2021TG02-G地块的国有建设用地使用权，并在2022年底取得开工许可，公司有序推进新厂区的建设。</w:t>
      </w:r>
    </w:p>
    <w:p w:rsidR="0080594E" w:rsidRDefault="000C39A3">
      <w:pPr>
        <w:pStyle w:val="3"/>
        <w:spacing w:line="280" w:lineRule="exact"/>
        <w:jc w:val="left"/>
        <w:rPr>
          <w:rFonts w:ascii="宋体" w:hAnsi="宋体" w:cs="宋体"/>
          <w:b/>
          <w:bCs/>
        </w:rPr>
      </w:pPr>
      <w:bookmarkStart w:id="19" w:name="_Toc988907"/>
      <w:r>
        <w:rPr>
          <w:rFonts w:ascii="宋体" w:hAnsi="宋体" w:cs="宋体"/>
          <w:b/>
          <w:bCs/>
        </w:rPr>
        <w:t>2、收入与成本</w:t>
      </w:r>
      <w:bookmarkEnd w:id="19"/>
    </w:p>
    <w:p w:rsidR="0080594E" w:rsidRDefault="000C39A3">
      <w:pPr>
        <w:keepNext/>
        <w:keepLines/>
        <w:spacing w:before="300" w:after="300" w:line="280" w:lineRule="exact"/>
        <w:outlineLvl w:val="3"/>
        <w:rPr>
          <w:rFonts w:ascii="宋体" w:eastAsia="宋体" w:hAnsi="宋体" w:cs="宋体"/>
          <w:b/>
          <w:bCs/>
          <w:szCs w:val="21"/>
        </w:rPr>
      </w:pPr>
      <w:bookmarkStart w:id="20" w:name="_Toc988908"/>
      <w:r>
        <w:rPr>
          <w:rFonts w:ascii="宋体" w:eastAsia="宋体" w:hAnsi="宋体" w:cs="宋体"/>
          <w:b/>
          <w:bCs/>
          <w:szCs w:val="21"/>
        </w:rPr>
        <w:t>（1） 营业收入构成</w:t>
      </w:r>
      <w:bookmarkEnd w:id="2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营业收入整体情况</w:t>
      </w:r>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7"/>
        <w:gridCol w:w="1606"/>
        <w:gridCol w:w="1607"/>
        <w:gridCol w:w="1607"/>
      </w:tblGrid>
      <w:tr w:rsidR="0080594E">
        <w:trPr>
          <w:trHeight w:val="240"/>
        </w:trPr>
        <w:tc>
          <w:tcPr>
            <w:tcW w:w="160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160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80594E">
        <w:trPr>
          <w:trHeight w:val="240"/>
        </w:trPr>
        <w:tc>
          <w:tcPr>
            <w:tcW w:w="160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占营业收入比重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占营业收入比重</w:t>
            </w:r>
          </w:p>
        </w:tc>
        <w:tc>
          <w:tcPr>
            <w:tcW w:w="160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营业收入合计</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794,880,440.45</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right"/>
              <w:rPr>
                <w:rFonts w:ascii="宋体" w:eastAsia="宋体" w:hAnsi="宋体" w:cs="宋体"/>
                <w:sz w:val="18"/>
                <w:szCs w:val="18"/>
                <w:shd w:val="clear" w:color="auto" w:fill="D3D3D3"/>
              </w:rPr>
            </w:pPr>
            <w:r>
              <w:rPr>
                <w:rFonts w:ascii="宋体" w:eastAsia="宋体" w:hAnsi="宋体" w:cs="宋体"/>
                <w:sz w:val="18"/>
                <w:szCs w:val="18"/>
                <w:shd w:val="clear" w:color="auto" w:fill="D3D3D3"/>
              </w:rPr>
              <w:t>100%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893,234,176.16</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right"/>
              <w:rPr>
                <w:rFonts w:ascii="宋体" w:eastAsia="宋体" w:hAnsi="宋体" w:cs="宋体"/>
                <w:sz w:val="18"/>
                <w:szCs w:val="18"/>
                <w:shd w:val="clear" w:color="auto" w:fill="D3D3D3"/>
              </w:rPr>
            </w:pPr>
            <w:r>
              <w:rPr>
                <w:rFonts w:ascii="宋体" w:eastAsia="宋体" w:hAnsi="宋体" w:cs="宋体"/>
                <w:sz w:val="18"/>
                <w:szCs w:val="18"/>
                <w:shd w:val="clear" w:color="auto" w:fill="D3D3D3"/>
              </w:rPr>
              <w:t>100%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-11.01%</w:t>
            </w:r>
          </w:p>
        </w:tc>
      </w:tr>
      <w:tr w:rsidR="0080594E">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分行业</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机械制造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97.47%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888,974,759.04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99.52%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-12.85%</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其他业务收入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20,117,643.36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4,259,417.12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372.31%</w:t>
            </w:r>
          </w:p>
        </w:tc>
      </w:tr>
      <w:tr w:rsidR="0080594E">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分产品</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螺杆机</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611,056,042.83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76.87%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722,121,225.83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80.84%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-15.38%</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其他产品</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163,706,754.26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20.60%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166,853,533.21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-1.89%</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其他业务收入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20,117,643.36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4,259,417.12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372.31%</w:t>
            </w:r>
          </w:p>
        </w:tc>
      </w:tr>
      <w:tr w:rsidR="0080594E">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分地区</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728,510,383.33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91.65%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845,053,457.78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94.60%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-13.79%</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境外</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46,252,413.76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43,921,301.26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5.31%</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其他业务收入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20,117,643.36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4,259,417.12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372.31%</w:t>
            </w:r>
          </w:p>
        </w:tc>
      </w:tr>
      <w:tr w:rsidR="0080594E">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分销售模式</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经销</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764,142,281.73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96.13%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879,899,596.99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98.50%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-13.16%</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直销</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10,620,515.36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9,075,162.05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17.03%</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其他业务收入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20,117,643.36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4,259,417.12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372.31%</w:t>
            </w:r>
          </w:p>
        </w:tc>
      </w:tr>
    </w:tbl>
    <w:p w:rsidR="0080594E" w:rsidRDefault="000C39A3">
      <w:pPr>
        <w:keepNext/>
        <w:keepLines/>
        <w:spacing w:before="300" w:after="300" w:line="280" w:lineRule="exact"/>
        <w:outlineLvl w:val="3"/>
        <w:rPr>
          <w:rFonts w:ascii="宋体" w:eastAsia="宋体" w:hAnsi="宋体" w:cs="宋体"/>
          <w:b/>
          <w:bCs/>
          <w:sz w:val="18"/>
          <w:szCs w:val="18"/>
        </w:rPr>
      </w:pPr>
      <w:bookmarkStart w:id="21" w:name="_Toc988909"/>
      <w:r>
        <w:rPr>
          <w:rFonts w:ascii="宋体" w:eastAsia="宋体" w:hAnsi="宋体" w:cs="宋体"/>
          <w:b/>
          <w:bCs/>
          <w:sz w:val="18"/>
          <w:szCs w:val="18"/>
        </w:rPr>
        <w:t>（2） 占公司营业收入或营业利润10%以上的行业、产品、地区、销售模式的情况</w:t>
      </w:r>
      <w:bookmarkEnd w:id="2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毛利率比上年同期增减</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分行业</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机械制造</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w:t>
            </w:r>
            <w:r>
              <w:rPr>
                <w:rFonts w:ascii="宋体" w:eastAsia="宋体" w:hAnsi="宋体" w:cs="宋体"/>
                <w:sz w:val="18"/>
                <w:szCs w:val="18"/>
              </w:rPr>
              <w:lastRenderedPageBreak/>
              <w:t>09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534,148,817.</w:t>
            </w:r>
            <w:r>
              <w:rPr>
                <w:rFonts w:ascii="宋体" w:eastAsia="宋体" w:hAnsi="宋体" w:cs="宋体"/>
                <w:sz w:val="18"/>
                <w:szCs w:val="18"/>
              </w:rPr>
              <w:lastRenderedPageBreak/>
              <w:t>83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31.06%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-12.85%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-10.24%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w:t>
            </w:r>
            <w:r w:rsidR="00F46772">
              <w:rPr>
                <w:rFonts w:ascii="宋体" w:eastAsia="宋体" w:hAnsi="宋体" w:cs="宋体"/>
                <w:sz w:val="18"/>
                <w:szCs w:val="18"/>
              </w:rPr>
              <w:t>0</w:t>
            </w:r>
            <w:r>
              <w:rPr>
                <w:rFonts w:ascii="宋体" w:eastAsia="宋体" w:hAnsi="宋体" w:cs="宋体"/>
                <w:sz w:val="18"/>
                <w:szCs w:val="18"/>
              </w:rPr>
              <w:t>%</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分产品</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螺杆机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611,056,042.83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414,218,422.33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32.21%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-12.25%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-2.42%</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其他产品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163,706,754.26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119,930,395.50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26.74%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0.46%</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分地区</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728,510,383.33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505,531,690.80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-13.79%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-10.79%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-2.33%</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分销售模式</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经销</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764,142,281.73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528,469,342.14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30.84%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公司主营业务数据统计口径在报告期发生调整的情况下，公司最近1年按报告期末口径调整后的主营业务数据</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毛利率比上年同期增减</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分行业</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机械制造</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534,148,817.83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31.06%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-12.85%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-10.24%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w:t>
            </w:r>
            <w:r w:rsidR="00E2660A">
              <w:rPr>
                <w:rFonts w:ascii="宋体" w:eastAsia="宋体" w:hAnsi="宋体" w:cs="宋体"/>
                <w:sz w:val="18"/>
                <w:szCs w:val="18"/>
              </w:rPr>
              <w:t>0</w:t>
            </w:r>
            <w:r>
              <w:rPr>
                <w:rFonts w:ascii="宋体" w:eastAsia="宋体" w:hAnsi="宋体" w:cs="宋体"/>
                <w:sz w:val="18"/>
                <w:szCs w:val="18"/>
              </w:rPr>
              <w:t>%</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分产品</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螺杆机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611,056,042.83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414,218,422.33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32.21%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-12.25%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-2.42%</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其他产品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163,706,754.26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119,930,395.50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26.74%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0.46%</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分地区</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728,510,383.33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505,531,690.80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-13.79%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-10.79%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-2.33%</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境外</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46,252,413.76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28,617,127.03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38.13%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0.91%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2.69%</w:t>
            </w:r>
          </w:p>
        </w:tc>
      </w:tr>
      <w:tr w:rsidR="0080594E">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分销售模式</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经销</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764,142,281.73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528,469,342.14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30.84%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直销</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10,620,515.36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5,679,475.69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46.52%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17.03%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28.81%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变更口径的理由</w:t>
      </w:r>
    </w:p>
    <w:p w:rsidR="000C39A3" w:rsidRDefault="000C39A3">
      <w:pPr>
        <w:pStyle w:val="a4"/>
        <w:spacing w:before="120" w:beforeAutospacing="0" w:after="0" w:afterAutospacing="0"/>
        <w:divId w:val="270817632"/>
        <w:rPr>
          <w:rFonts w:ascii="Times New Roman" w:hAnsi="Times New Roman" w:cs="Times New Roman"/>
          <w:sz w:val="21"/>
          <w:szCs w:val="21"/>
        </w:rPr>
      </w:pPr>
      <w:r>
        <w:rPr>
          <w:rFonts w:cs="Times New Roman" w:hint="eastAsia"/>
          <w:sz w:val="21"/>
          <w:szCs w:val="21"/>
        </w:rPr>
        <w:t>主要系其他系列产品营业收入占比较小故合并披露“其他产品”</w:t>
      </w:r>
    </w:p>
    <w:p w:rsidR="0080594E" w:rsidRDefault="000C39A3">
      <w:pPr>
        <w:keepNext/>
        <w:keepLines/>
        <w:spacing w:before="300" w:after="300" w:line="280" w:lineRule="exact"/>
        <w:outlineLvl w:val="3"/>
        <w:rPr>
          <w:rFonts w:ascii="宋体" w:eastAsia="宋体" w:hAnsi="宋体" w:cs="宋体"/>
          <w:b/>
          <w:bCs/>
          <w:sz w:val="18"/>
          <w:szCs w:val="18"/>
        </w:rPr>
      </w:pPr>
      <w:bookmarkStart w:id="22" w:name="_Toc988910"/>
      <w:r>
        <w:rPr>
          <w:rFonts w:ascii="宋体" w:eastAsia="宋体" w:hAnsi="宋体" w:cs="宋体"/>
          <w:b/>
          <w:bCs/>
          <w:sz w:val="18"/>
          <w:szCs w:val="18"/>
        </w:rPr>
        <w:t>（3） 公司实物销售收入是否大于劳务收入</w:t>
      </w:r>
      <w:bookmarkEnd w:id="22"/>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行业分类</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单位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80594E">
        <w:trPr>
          <w:trHeight w:val="240"/>
        </w:trPr>
        <w:tc>
          <w:tcPr>
            <w:tcW w:w="1606" w:type="dxa"/>
            <w:vMerge w:val="restart"/>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机械制造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销售量</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台</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61,657.00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79,221.00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-22.17%</w:t>
            </w:r>
          </w:p>
        </w:tc>
      </w:tr>
      <w:tr w:rsidR="0080594E">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生产量</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台</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59,177.00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84,905.00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-30.30%</w:t>
            </w:r>
          </w:p>
        </w:tc>
      </w:tr>
      <w:tr w:rsidR="0080594E">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库存量</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台</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9,959.00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12,439.00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-19.94%</w:t>
            </w:r>
          </w:p>
        </w:tc>
      </w:tr>
      <w:tr w:rsidR="0080594E">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相关数据同比发生变动30%以上的原因说明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divId w:val="1283222675"/>
        <w:rPr>
          <w:sz w:val="18"/>
          <w:szCs w:val="18"/>
        </w:rPr>
      </w:pPr>
      <w:r>
        <w:rPr>
          <w:rFonts w:hint="eastAsia"/>
          <w:sz w:val="18"/>
          <w:szCs w:val="18"/>
        </w:rPr>
        <w:lastRenderedPageBreak/>
        <w:t>报告期生产量较上年同期减少30.30%，主要系公司执行精益生产计划，且结合对市场行情的预判，合理控制库存数量。</w:t>
      </w:r>
    </w:p>
    <w:p w:rsidR="0080594E" w:rsidRDefault="000C39A3">
      <w:pPr>
        <w:keepNext/>
        <w:keepLines/>
        <w:spacing w:before="300" w:after="300" w:line="280" w:lineRule="exact"/>
        <w:outlineLvl w:val="3"/>
        <w:rPr>
          <w:rFonts w:ascii="宋体" w:eastAsia="宋体" w:hAnsi="宋体" w:cs="宋体"/>
          <w:b/>
          <w:bCs/>
          <w:sz w:val="18"/>
          <w:szCs w:val="18"/>
        </w:rPr>
      </w:pPr>
      <w:bookmarkStart w:id="23" w:name="_Toc988911"/>
      <w:r>
        <w:rPr>
          <w:rFonts w:ascii="宋体" w:eastAsia="宋体" w:hAnsi="宋体" w:cs="宋体"/>
          <w:b/>
          <w:bCs/>
          <w:sz w:val="18"/>
          <w:szCs w:val="18"/>
        </w:rPr>
        <w:t>（4） 公司已签订的重大销售合同、重大采购合同截至本报告期的履行情况</w:t>
      </w:r>
      <w:bookmarkEnd w:id="23"/>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keepNext/>
        <w:keepLines/>
        <w:spacing w:before="300" w:after="300" w:line="280" w:lineRule="exact"/>
        <w:outlineLvl w:val="3"/>
        <w:rPr>
          <w:rFonts w:ascii="宋体" w:eastAsia="宋体" w:hAnsi="宋体" w:cs="宋体"/>
          <w:b/>
          <w:bCs/>
          <w:sz w:val="18"/>
          <w:szCs w:val="18"/>
        </w:rPr>
      </w:pPr>
      <w:bookmarkStart w:id="24" w:name="_Toc988912"/>
      <w:r>
        <w:rPr>
          <w:rFonts w:ascii="宋体" w:eastAsia="宋体" w:hAnsi="宋体" w:cs="宋体"/>
          <w:b/>
          <w:bCs/>
          <w:sz w:val="18"/>
          <w:szCs w:val="18"/>
        </w:rPr>
        <w:t>（5） 营业成本构成</w:t>
      </w:r>
      <w:bookmarkEnd w:id="24"/>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行业分类</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行业分类</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499"/>
        <w:gridCol w:w="1255"/>
        <w:gridCol w:w="1580"/>
        <w:gridCol w:w="1174"/>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行业分类</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80594E" w:rsidTr="006E782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499"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25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占营业成本比重</w:t>
            </w:r>
          </w:p>
        </w:tc>
        <w:tc>
          <w:tcPr>
            <w:tcW w:w="158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17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占营业成本比重</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rsidTr="006E782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机械制造</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直接材料</w:t>
            </w:r>
          </w:p>
        </w:tc>
        <w:tc>
          <w:tcPr>
            <w:tcW w:w="1499"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396,619,387.32</w:t>
            </w:r>
          </w:p>
        </w:tc>
        <w:tc>
          <w:tcPr>
            <w:tcW w:w="125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73.48%</w:t>
            </w:r>
          </w:p>
        </w:tc>
        <w:tc>
          <w:tcPr>
            <w:tcW w:w="158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454,004,896.09</w:t>
            </w:r>
          </w:p>
        </w:tc>
        <w:tc>
          <w:tcPr>
            <w:tcW w:w="117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76.23%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-12.64%</w:t>
            </w:r>
          </w:p>
        </w:tc>
      </w:tr>
      <w:tr w:rsidR="0080594E" w:rsidTr="006E782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机械制造</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直接人工</w:t>
            </w:r>
          </w:p>
        </w:tc>
        <w:tc>
          <w:tcPr>
            <w:tcW w:w="1499"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41,530,937.27</w:t>
            </w:r>
          </w:p>
        </w:tc>
        <w:tc>
          <w:tcPr>
            <w:tcW w:w="125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7.69%</w:t>
            </w:r>
          </w:p>
        </w:tc>
        <w:tc>
          <w:tcPr>
            <w:tcW w:w="158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48,119,035.71</w:t>
            </w:r>
          </w:p>
        </w:tc>
        <w:tc>
          <w:tcPr>
            <w:tcW w:w="117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-13.69%</w:t>
            </w:r>
          </w:p>
        </w:tc>
      </w:tr>
      <w:tr w:rsidR="0080594E" w:rsidTr="006E782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机械制造</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制造费用</w:t>
            </w:r>
          </w:p>
        </w:tc>
        <w:tc>
          <w:tcPr>
            <w:tcW w:w="1499"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95,998,493.24</w:t>
            </w:r>
          </w:p>
        </w:tc>
        <w:tc>
          <w:tcPr>
            <w:tcW w:w="125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17.79%</w:t>
            </w:r>
          </w:p>
        </w:tc>
        <w:tc>
          <w:tcPr>
            <w:tcW w:w="158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92,939,152.06</w:t>
            </w:r>
          </w:p>
        </w:tc>
        <w:tc>
          <w:tcPr>
            <w:tcW w:w="117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15.61%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3.29%</w:t>
            </w:r>
          </w:p>
        </w:tc>
      </w:tr>
      <w:tr w:rsidR="0080594E" w:rsidTr="006E782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其他业务成本</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1499"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5,585,042.26</w:t>
            </w:r>
          </w:p>
        </w:tc>
        <w:tc>
          <w:tcPr>
            <w:tcW w:w="125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1.03%</w:t>
            </w:r>
          </w:p>
        </w:tc>
        <w:tc>
          <w:tcPr>
            <w:tcW w:w="158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484,873.56</w:t>
            </w:r>
          </w:p>
        </w:tc>
        <w:tc>
          <w:tcPr>
            <w:tcW w:w="117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1,051.86%</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说明</w:t>
      </w:r>
    </w:p>
    <w:p w:rsidR="000C39A3" w:rsidRDefault="000C39A3">
      <w:pPr>
        <w:pStyle w:val="a4"/>
        <w:divId w:val="2111002741"/>
        <w:rPr>
          <w:sz w:val="18"/>
          <w:szCs w:val="18"/>
        </w:rPr>
      </w:pPr>
      <w:r>
        <w:rPr>
          <w:rFonts w:hint="eastAsia"/>
          <w:sz w:val="18"/>
          <w:szCs w:val="18"/>
        </w:rPr>
        <w:t>无</w:t>
      </w:r>
    </w:p>
    <w:p w:rsidR="0080594E" w:rsidRDefault="000C39A3">
      <w:pPr>
        <w:keepNext/>
        <w:keepLines/>
        <w:spacing w:before="300" w:after="300" w:line="280" w:lineRule="exact"/>
        <w:outlineLvl w:val="3"/>
        <w:rPr>
          <w:rFonts w:ascii="宋体" w:eastAsia="宋体" w:hAnsi="宋体" w:cs="宋体"/>
          <w:b/>
          <w:bCs/>
          <w:sz w:val="18"/>
          <w:szCs w:val="18"/>
        </w:rPr>
      </w:pPr>
      <w:bookmarkStart w:id="25" w:name="_Toc988913"/>
      <w:r>
        <w:rPr>
          <w:rFonts w:ascii="宋体" w:eastAsia="宋体" w:hAnsi="宋体" w:cs="宋体"/>
          <w:b/>
          <w:bCs/>
          <w:sz w:val="18"/>
          <w:szCs w:val="18"/>
        </w:rPr>
        <w:t>（6） 报告期内合并范围是否发生变动</w:t>
      </w:r>
      <w:bookmarkEnd w:id="25"/>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keepNext/>
        <w:keepLines/>
        <w:spacing w:before="300" w:after="300" w:line="280" w:lineRule="exact"/>
        <w:outlineLvl w:val="3"/>
        <w:rPr>
          <w:rFonts w:ascii="宋体" w:eastAsia="宋体" w:hAnsi="宋体" w:cs="宋体"/>
          <w:b/>
          <w:bCs/>
          <w:sz w:val="18"/>
          <w:szCs w:val="18"/>
        </w:rPr>
      </w:pPr>
      <w:bookmarkStart w:id="26" w:name="_Toc988914"/>
      <w:r>
        <w:rPr>
          <w:rFonts w:ascii="宋体" w:eastAsia="宋体" w:hAnsi="宋体" w:cs="宋体"/>
          <w:b/>
          <w:bCs/>
          <w:sz w:val="18"/>
          <w:szCs w:val="18"/>
        </w:rPr>
        <w:t>（7） 公司报告期内业务、产品或服务发生重大变化或调整有关情况</w:t>
      </w:r>
      <w:bookmarkEnd w:id="26"/>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keepNext/>
        <w:keepLines/>
        <w:spacing w:before="300" w:after="300" w:line="280" w:lineRule="exact"/>
        <w:outlineLvl w:val="3"/>
        <w:rPr>
          <w:rFonts w:ascii="宋体" w:eastAsia="宋体" w:hAnsi="宋体" w:cs="宋体"/>
          <w:b/>
          <w:bCs/>
          <w:sz w:val="18"/>
          <w:szCs w:val="18"/>
        </w:rPr>
      </w:pPr>
      <w:bookmarkStart w:id="27" w:name="_Toc988915"/>
      <w:r>
        <w:rPr>
          <w:rFonts w:ascii="宋体" w:eastAsia="宋体" w:hAnsi="宋体" w:cs="宋体"/>
          <w:b/>
          <w:bCs/>
          <w:sz w:val="18"/>
          <w:szCs w:val="18"/>
        </w:rPr>
        <w:t>（8） 主要销售客户和主要供应商情况</w:t>
      </w:r>
      <w:bookmarkEnd w:id="27"/>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公司主要销售客户情况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前五名客户合计销售金额（元）</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96,076,891.75</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前五名客户合计销售金额占年度销售总额比例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12.09%</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前五名客户销售额中关联方销售额占年度销售总额比例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公司前5大客户资料</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序号</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客户名称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销售额（元）</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占年度销售总额比例</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客户一</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24,290,343.57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客户二</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23,657,096.46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客户三</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16,580,134.54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2.09%</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客户四</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15,862,941.46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客户五</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15,686,375.72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1.97%</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96,076,891.75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12.09%</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主要客户其他情况说明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公司主要供应商情况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前五名供应商合计采购金额（元）</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156,611,104.83</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前五名供应商合计采购金额占年度采购总额比例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33.92%</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前五名供应商采购额中关联方采购额占年度采购总额比例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公司前5名供应商资料</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序号</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供应商名称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采购额（元）</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占年度采购总额比例</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供应商一</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62,096,137.87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13.45%</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供应商二</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36,114,704.26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供应商三</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26,015,160.56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5.64%</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供应商四</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18,794,030.28</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4.07%</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供应商五</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13,591,071.86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156,611,104.83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33.92%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主要供应商其他情况说明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28" w:name="_Toc988916"/>
      <w:r>
        <w:rPr>
          <w:rFonts w:ascii="宋体" w:hAnsi="宋体" w:cs="宋体"/>
          <w:b/>
          <w:bCs/>
        </w:rPr>
        <w:t>3、费用</w:t>
      </w:r>
      <w:bookmarkEnd w:id="2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重大变动说明</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销售费用</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21,242,387.89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19,175,194.55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10.78%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管理费用</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35,847,978.05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47,653,179.14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-24.77%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财务费用</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-3,628,347.98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628,358.15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-677.43%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主要原因系本期利息收入增长、汇兑净损失减少综合影响所致。</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研发费用</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40,062,582.48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39,397,083.21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bl>
    <w:p w:rsidR="0080594E" w:rsidRDefault="000C39A3">
      <w:pPr>
        <w:pStyle w:val="3"/>
        <w:spacing w:line="280" w:lineRule="exact"/>
        <w:jc w:val="left"/>
        <w:rPr>
          <w:rFonts w:ascii="宋体" w:hAnsi="宋体" w:cs="宋体"/>
          <w:b/>
          <w:bCs/>
        </w:rPr>
      </w:pPr>
      <w:bookmarkStart w:id="29" w:name="_Toc988917"/>
      <w:r>
        <w:rPr>
          <w:rFonts w:ascii="宋体" w:hAnsi="宋体" w:cs="宋体"/>
          <w:b/>
          <w:bCs/>
        </w:rPr>
        <w:t>4、研发投入</w:t>
      </w:r>
      <w:bookmarkEnd w:id="29"/>
    </w:p>
    <w:p w:rsidR="0080594E" w:rsidRDefault="000C39A3">
      <w:pPr>
        <w:spacing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主要研发项目名称</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项目目的</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项目进展</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拟达到的目标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预计对公司未来发展的影响</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真空泵系列产品研发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真空泵广泛应用于医药、化工、航空航天、电子、太阳能、冶金、食品等行业中，开发干式真空泵、两级压缩真空泵及配套设备符合市场需求。</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取得阶段性成果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实现产品的多样化，优化、细化符合市场需求的产品</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优化产品结构，增加真空泵产品谱系，提升市场竞争力</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鼓风机系列产品研发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鼓风机广泛应用于气力输送、水产养殖、化工、石油、冶金、电力、食品等行业，公司针对特定市场分别开发多型号无油螺杆鼓风机、磁悬浮永磁离心鼓风机、空气悬浮离心鼓风机及增</w:t>
            </w:r>
            <w:r>
              <w:rPr>
                <w:rFonts w:ascii="宋体" w:eastAsia="宋体" w:hAnsi="宋体" w:cs="宋体"/>
                <w:sz w:val="18"/>
                <w:szCs w:val="18"/>
              </w:rPr>
              <w:lastRenderedPageBreak/>
              <w:t>氧机符合市场需求。</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取得阶段性成果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实现产品的多样化，优化、细化符合市场需求的产品，节能减排</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拓展产品应用领域，提高市场占有率</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干式无油双螺杆研发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提高空压机空气的洁净品质，拓展市场，实现食品、医疗、卫生、石油化工等领域的应用需求。</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取得阶段性成果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实现无油螺杆机的批量生产</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拓展产品应用领域，满足不同市场需求，提升产品竞争力</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离心式空气压缩机研发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离心压缩机是重大化工装置、气体输送和液化等领域的核心装备之一，满足不同市场需要，实现产品多样化。</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取得阶段性成果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实现离心式空压机的批量生产</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优化产品结构，提高市场份额，提升产品竞争力</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两级压缩永磁喷油螺杆机优化升级</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针对二级压缩永磁喷油螺杆机进一步升级优化，提升产品的综合竞争力</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取得阶段性成果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实现二级压缩永磁喷油螺杆机升级优化，节能减排</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产品升级，结构优化，提升二级压缩永磁喷油螺杆机的综合竞争力</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“福星”系列永磁螺杆机优化升级</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针对“福星”系列永磁螺杆机进一步升级优化，提升产品的综合竞争力</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研发完成</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节能减排，达到国家一级能效指标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符合市场需求，提升产品竞争力，提高市场占有率。</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汽车保养行业专用空压机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为满足汽车保养行业的需求，针对性开发该领域的专用空压机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取得阶段性成果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实现产品的多样化，优化、细化符合市场需求的产品，节能减排</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增加产品谱系，培育新市场</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二级压缩螺杆空压机优化升级</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针对二级压缩螺杆空压机进一步升级优化，提升产品的综合竞争力</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取得阶段性成果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丰富两级压缩螺杆空压机的产品线，满足不同市场需求，提高等熵效率，产品升级，节能减排。</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产品升级，结构优化，提升二级压缩螺杆空压机的综合竞争力</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鼓风吸附式干燥机产品研发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针对有更高露点要求、能效要求的工况，开发一款露点更低、能耗更低的吸附式干燥机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研发完成</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丰富吸附式干燥机的产品品类，细化符合市场需求的产品，节能减排</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鼓风吸附式干燥机作为空压机配套的后处理设备，更有效提高压缩空气质量，满足客户对高品质压缩空气的需求，成为压缩空气系统解决方案提供商</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多型号水润滑螺杆机产品研发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润滑介质采用合乎饮用水标准的蒸馏水，配置高性能的不锈钢元件，整个压缩系统没有任何润滑油成分，可应用于航天、电子、医药、食品等行业和特殊工艺要求领域，满足不同市场需求。</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样机测试阶段</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实现产品的多样化，优化、细化符合市场需求的产品</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增加无油螺杆机产品品类，拓展产品应用领域，满足不同市场需求</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多型号微油螺杆机产品研发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大排量压缩机产品升级，自主研发多型号配套机头，降本增效。</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研发完成</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实现产品的多样化，优化、细化符合市场需求的产品</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丰富螺杆机产品品类，满足不同市场需求，提高市场占有率</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无油涡旋机产品研发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无油涡旋机可应用于实验室、医院等场所，精密电子、食品饮料等行业，气体洁净无油，极致静音。</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研发完成</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满足对气体洁净度有较高要求的客户需求，优化产品结构，开拓新市场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丰富公司无油机产品线，开拓市场，扩大市场份额，提高企业产品竞争力</w:t>
            </w:r>
          </w:p>
        </w:tc>
      </w:tr>
    </w:tbl>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公司研发人员情况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变动比例</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研发人员数量（人）</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4.46%</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研发人员数量占比</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15.08%</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13.91%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w:t>
            </w:r>
          </w:p>
        </w:tc>
      </w:tr>
      <w:tr w:rsidR="0080594E">
        <w:trPr>
          <w:trHeight w:val="240"/>
        </w:trPr>
        <w:tc>
          <w:tcPr>
            <w:tcW w:w="963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研发人员学历</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本科</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9.09%</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硕士</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大专及以下</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-11.54%</w:t>
            </w:r>
          </w:p>
        </w:tc>
      </w:tr>
      <w:tr w:rsidR="0080594E">
        <w:trPr>
          <w:trHeight w:val="240"/>
        </w:trPr>
        <w:tc>
          <w:tcPr>
            <w:tcW w:w="963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研发人员年龄构成</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30岁以下</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30~40岁</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40岁以上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8.82%</w:t>
            </w:r>
          </w:p>
        </w:tc>
      </w:tr>
    </w:tbl>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近三年公司研发投入金额及占营业收入的比例</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2020年</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研发投入金额（元）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40,062,582.48</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39,397,083.21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34,099,781.18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研发投入占营业收入比例</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4.39%</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研发支出资本化的金额（元）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资本化研发支出占研发投入的比例</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资本化研发支出占当期净利润的比重</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公司研发人员构成发生重大变化的原因及影响</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spacing w:before="0" w:beforeAutospacing="0" w:after="0" w:afterAutospacing="0"/>
        <w:divId w:val="447048878"/>
        <w:rPr>
          <w:rFonts w:ascii="Times New Roman" w:hAnsi="Times New Roman" w:cs="Times New Roman"/>
          <w:sz w:val="21"/>
          <w:szCs w:val="21"/>
        </w:rPr>
      </w:pPr>
      <w:r>
        <w:rPr>
          <w:rFonts w:cs="Times New Roman" w:hint="eastAsia"/>
          <w:sz w:val="21"/>
          <w:szCs w:val="21"/>
        </w:rPr>
        <w:t>公司不断加强研发队伍建设，引进培养研发技术人才，充实研发队伍，推进技术创新、产品创新，工艺创新，年度内公司硕士人员增加、研发人员增加属于正常研发投入的需要。</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研发投入总额占营业收入的比重较上年发生显著变化的原因</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研发投入资本化率大幅变动的原因及其合理性说明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30" w:name="_Toc988918"/>
      <w:r>
        <w:rPr>
          <w:rFonts w:ascii="宋体" w:hAnsi="宋体" w:cs="宋体"/>
          <w:b/>
          <w:bCs/>
        </w:rPr>
        <w:t>5、现金流</w:t>
      </w:r>
      <w:bookmarkEnd w:id="3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经营活动现金流入小计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815,923,178.49</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944,622,789.83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-13.62%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经营活动现金流出小计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576,623,652.51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766,268,314.02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-24.75%</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239,299,525.98</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178,354,475.81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34.17%</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投资活动现金流入小计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711,333,793.46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2,356,986,211.07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-69.82%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投资活动现金流出小计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779,454,078.12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2,468,257,164.64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-68.42%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-68,120,284.66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-111,270,953.57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38.78%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筹资活动现金流入小计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461,672,640.00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筹资活动现金流出小计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75,801,385.67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85,710,013.53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-11.56%</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筹资活动产生的现金流量净额</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-75,801,385.67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375,962,626.47</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-120.16%</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现金及现金等价物净增加额</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95,749,622.14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442,611,755.32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-78.37%</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相关数据同比发生重大变动的主要影响因素说明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divId w:val="1991326177"/>
        <w:rPr>
          <w:sz w:val="18"/>
          <w:szCs w:val="18"/>
        </w:rPr>
      </w:pPr>
      <w:r>
        <w:rPr>
          <w:rFonts w:hint="eastAsia"/>
          <w:sz w:val="18"/>
          <w:szCs w:val="18"/>
        </w:rPr>
        <w:t>（1）经营活动产生的现金流量净额较上期增加，主要系本期购买商品、接受劳务支付的现金减少所致。</w:t>
      </w:r>
    </w:p>
    <w:p w:rsidR="000C39A3" w:rsidRDefault="000C39A3">
      <w:pPr>
        <w:pStyle w:val="a4"/>
        <w:divId w:val="1991326177"/>
        <w:rPr>
          <w:sz w:val="18"/>
          <w:szCs w:val="18"/>
        </w:rPr>
      </w:pPr>
      <w:r>
        <w:rPr>
          <w:rFonts w:hint="eastAsia"/>
          <w:sz w:val="18"/>
          <w:szCs w:val="18"/>
        </w:rPr>
        <w:t>（2）投资活动产生的现金流量净额较上期减少，主要系本期购建固定资产、无形资产和其他长期资产支付的现金减少所致。</w:t>
      </w:r>
    </w:p>
    <w:p w:rsidR="000C39A3" w:rsidRDefault="000C39A3">
      <w:pPr>
        <w:pStyle w:val="a4"/>
        <w:divId w:val="1991326177"/>
        <w:rPr>
          <w:sz w:val="18"/>
          <w:szCs w:val="18"/>
        </w:rPr>
      </w:pPr>
      <w:r>
        <w:rPr>
          <w:rFonts w:hint="eastAsia"/>
          <w:sz w:val="18"/>
          <w:szCs w:val="18"/>
        </w:rPr>
        <w:t>（3）筹资活动产生的现金流量净额较上期减少，主要系上期收到募集资金所致。</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报告期内公司经营活动产生的现金净流量与本年度净利润存在重大差异的原因说明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spacing w:before="0" w:beforeAutospacing="0" w:after="0" w:afterAutospacing="0"/>
        <w:divId w:val="42413395"/>
        <w:rPr>
          <w:rFonts w:ascii="Times New Roman" w:hAnsi="Times New Roman" w:cs="Times New Roman"/>
          <w:sz w:val="21"/>
          <w:szCs w:val="21"/>
        </w:rPr>
      </w:pPr>
      <w:r>
        <w:rPr>
          <w:rFonts w:cs="Times New Roman" w:hint="eastAsia"/>
          <w:sz w:val="18"/>
          <w:szCs w:val="18"/>
        </w:rPr>
        <w:t>报告期内公司经营活动产生的现金净流量与本年度净利润相比存在重大差异主要系本期购买商品、接受劳务支付的现金减少所致。</w:t>
      </w:r>
    </w:p>
    <w:p w:rsidR="0080594E" w:rsidRDefault="000C39A3">
      <w:pPr>
        <w:pStyle w:val="2"/>
        <w:spacing w:before="300" w:after="300" w:line="320" w:lineRule="exact"/>
        <w:rPr>
          <w:rFonts w:ascii="宋体" w:eastAsia="宋体" w:hAnsi="宋体" w:cs="宋体"/>
          <w:b/>
          <w:bCs/>
          <w:sz w:val="24"/>
          <w:szCs w:val="24"/>
        </w:rPr>
      </w:pPr>
      <w:bookmarkStart w:id="31" w:name="_Toc988919"/>
      <w:r>
        <w:rPr>
          <w:rFonts w:ascii="宋体" w:eastAsia="宋体" w:hAnsi="宋体" w:cs="宋体"/>
          <w:b/>
          <w:bCs/>
          <w:sz w:val="24"/>
          <w:szCs w:val="24"/>
        </w:rPr>
        <w:t>五、非主营业务情况</w:t>
      </w:r>
      <w:bookmarkEnd w:id="31"/>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占利润总额比例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形成原因说明</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是否具有可持续性</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投资收益</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主要系理财收益</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公允价值变动损益</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资产减值</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-4,495,396.46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主要系计提存货跌价准备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营业外收入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348,668.79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0.19%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主要系商标维权补偿</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营业外支出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1,084,094.02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0.60%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主要系公益性捐赠支出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资产处置收益</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主要系非流动资产处置损失</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21,156,388.42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11.66%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主要系政府补助</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信用减值损失</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817,214.92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主要系计提应收账款、其他应收款、应收票据坏账准备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bl>
    <w:p w:rsidR="0080594E" w:rsidRDefault="000C39A3">
      <w:pPr>
        <w:pStyle w:val="2"/>
        <w:spacing w:before="300" w:after="300" w:line="320" w:lineRule="exact"/>
        <w:rPr>
          <w:rFonts w:ascii="宋体" w:eastAsia="宋体" w:hAnsi="宋体" w:cs="宋体"/>
          <w:b/>
          <w:bCs/>
          <w:sz w:val="24"/>
          <w:szCs w:val="24"/>
        </w:rPr>
      </w:pPr>
      <w:bookmarkStart w:id="32" w:name="_Toc988920"/>
      <w:r>
        <w:rPr>
          <w:rFonts w:ascii="宋体" w:eastAsia="宋体" w:hAnsi="宋体" w:cs="宋体"/>
          <w:b/>
          <w:bCs/>
          <w:sz w:val="24"/>
          <w:szCs w:val="24"/>
        </w:rPr>
        <w:t>六、资产及负债状况分析</w:t>
      </w:r>
      <w:bookmarkEnd w:id="32"/>
    </w:p>
    <w:p w:rsidR="0080594E" w:rsidRDefault="000C39A3">
      <w:pPr>
        <w:pStyle w:val="3"/>
        <w:spacing w:line="280" w:lineRule="exact"/>
        <w:jc w:val="left"/>
        <w:rPr>
          <w:rFonts w:ascii="宋体" w:hAnsi="宋体" w:cs="宋体"/>
          <w:b/>
          <w:bCs/>
        </w:rPr>
      </w:pPr>
      <w:bookmarkStart w:id="33" w:name="_Toc988921"/>
      <w:r>
        <w:rPr>
          <w:rFonts w:ascii="宋体" w:hAnsi="宋体" w:cs="宋体"/>
          <w:b/>
          <w:bCs/>
        </w:rPr>
        <w:t>1、资产构成重大变动情况</w:t>
      </w:r>
      <w:bookmarkEnd w:id="3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2022年末</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比重增减</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重大变动说明</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占总资产比例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占总资产比例</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789,809,221.90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48.12%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705,809,599.76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应收账款</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95,443,697.7</w:t>
            </w:r>
            <w:r>
              <w:rPr>
                <w:rFonts w:ascii="宋体" w:eastAsia="宋体" w:hAnsi="宋体" w:cs="宋体"/>
                <w:sz w:val="18"/>
                <w:szCs w:val="18"/>
              </w:rPr>
              <w:lastRenderedPageBreak/>
              <w:t>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5.82%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96,990,300.4</w:t>
            </w:r>
            <w:r>
              <w:rPr>
                <w:rFonts w:ascii="宋体" w:eastAsia="宋体" w:hAnsi="宋体" w:cs="宋体"/>
                <w:sz w:val="18"/>
                <w:szCs w:val="18"/>
              </w:rPr>
              <w:lastRenderedPageBreak/>
              <w:t>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6.18%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-0.36%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存货</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191,834,095.72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11.69%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212,524,248.36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13.55%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投资性房地产</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125,551,691.83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124,187,209.12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-0.27%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269,365,460.80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255,889,423.53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0.10%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在建工程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17,499,646.67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-0.12%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合同负债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218,586,783.78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13.32%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187,196,360.14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11.93%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 股本</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23.09%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24.16%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 资本公积</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22.61%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 未分配利润</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362,224,842.54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22.07%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18.76%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无重大变化</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境外资产占比较高</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34" w:name="_Toc988922"/>
      <w:r>
        <w:rPr>
          <w:rFonts w:ascii="宋体" w:hAnsi="宋体" w:cs="宋体"/>
          <w:b/>
          <w:bCs/>
        </w:rPr>
        <w:t>2、以公允价值计量的资产和负债</w:t>
      </w:r>
      <w:bookmarkEnd w:id="34"/>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80594E">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本期公允价值变动损益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计入权益的累计公允价值变动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本期计提的减值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本期购买金额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本期出售金额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期末数</w:t>
            </w:r>
          </w:p>
        </w:tc>
      </w:tr>
      <w:tr w:rsidR="0080594E">
        <w:trPr>
          <w:trHeight w:val="240"/>
        </w:trPr>
        <w:tc>
          <w:tcPr>
            <w:tcW w:w="9639" w:type="dxa"/>
            <w:gridSpan w:val="9"/>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金融资产</w:t>
            </w:r>
          </w:p>
        </w:tc>
      </w:tr>
      <w:tr w:rsidR="0080594E">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应收款项融资</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16,291,754.21</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-5,135,131.80</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r>
      <w:tr w:rsidR="0080594E">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上述合计</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16,291,754.21</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-5,135,131.80</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r>
      <w:tr w:rsidR="0080594E">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金融负债</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其他变动的内容</w:t>
      </w:r>
    </w:p>
    <w:p w:rsidR="000C39A3" w:rsidRDefault="000C39A3">
      <w:pPr>
        <w:pStyle w:val="a4"/>
        <w:spacing w:before="0" w:beforeAutospacing="0" w:after="0" w:afterAutospacing="0"/>
        <w:divId w:val="1818451158"/>
        <w:rPr>
          <w:rFonts w:ascii="Times New Roman" w:hAnsi="Times New Roman" w:cs="Times New Roman"/>
          <w:sz w:val="18"/>
          <w:szCs w:val="18"/>
        </w:rPr>
      </w:pPr>
      <w:r>
        <w:rPr>
          <w:rFonts w:cs="Times New Roman" w:hint="eastAsia"/>
          <w:sz w:val="18"/>
          <w:szCs w:val="18"/>
        </w:rPr>
        <w:t>应收款项融资系本公司所持有的由信用等级较高银行承兑的银行承兑汇票，且信用风险和延期付款风险很小，故不存在减值迹象，其他变动系净额变动。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报告期内公司主要资产计量属性是否发生重大变化</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pStyle w:val="3"/>
        <w:spacing w:line="280" w:lineRule="exact"/>
        <w:jc w:val="left"/>
        <w:rPr>
          <w:rFonts w:ascii="宋体" w:hAnsi="宋体" w:cs="宋体"/>
          <w:b/>
          <w:bCs/>
        </w:rPr>
      </w:pPr>
      <w:bookmarkStart w:id="35" w:name="_Toc988923"/>
      <w:r>
        <w:rPr>
          <w:rFonts w:ascii="宋体" w:hAnsi="宋体" w:cs="宋体"/>
          <w:b/>
          <w:bCs/>
        </w:rPr>
        <w:t>3、截至报告期末的资产权利受限情况</w:t>
      </w:r>
      <w:bookmarkEnd w:id="35"/>
    </w:p>
    <w:tbl>
      <w:tblPr>
        <w:tblW w:w="6180" w:type="dxa"/>
        <w:tblCellMar>
          <w:left w:w="0" w:type="dxa"/>
          <w:right w:w="0" w:type="dxa"/>
        </w:tblCellMar>
        <w:tblLook w:val="04A0" w:firstRow="1" w:lastRow="0" w:firstColumn="1" w:lastColumn="0" w:noHBand="0" w:noVBand="1"/>
      </w:tblPr>
      <w:tblGrid>
        <w:gridCol w:w="1300"/>
        <w:gridCol w:w="1900"/>
        <w:gridCol w:w="2980"/>
      </w:tblGrid>
      <w:tr w:rsidR="000C39A3">
        <w:trPr>
          <w:divId w:val="1420175540"/>
          <w:trHeight w:val="270"/>
        </w:trPr>
        <w:tc>
          <w:tcPr>
            <w:tcW w:w="13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C39A3" w:rsidRDefault="000C39A3">
            <w:pPr>
              <w:widowControl/>
              <w:jc w:val="center"/>
              <w:rPr>
                <w:kern w:val="0"/>
                <w:sz w:val="18"/>
                <w:szCs w:val="18"/>
              </w:rPr>
            </w:pPr>
            <w:r>
              <w:rPr>
                <w:rFonts w:hint="eastAsia"/>
                <w:sz w:val="18"/>
                <w:szCs w:val="18"/>
              </w:rPr>
              <w:t>项目</w:t>
            </w:r>
          </w:p>
        </w:tc>
        <w:tc>
          <w:tcPr>
            <w:tcW w:w="1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jc w:val="center"/>
              <w:rPr>
                <w:sz w:val="18"/>
                <w:szCs w:val="18"/>
              </w:rPr>
            </w:pPr>
            <w:r>
              <w:rPr>
                <w:rFonts w:hint="eastAsia"/>
                <w:sz w:val="18"/>
                <w:szCs w:val="18"/>
              </w:rPr>
              <w:t>期末账面价值</w:t>
            </w:r>
          </w:p>
        </w:tc>
        <w:tc>
          <w:tcPr>
            <w:tcW w:w="29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jc w:val="center"/>
              <w:rPr>
                <w:sz w:val="18"/>
                <w:szCs w:val="18"/>
              </w:rPr>
            </w:pPr>
            <w:r>
              <w:rPr>
                <w:rFonts w:hint="eastAsia"/>
                <w:sz w:val="18"/>
                <w:szCs w:val="18"/>
              </w:rPr>
              <w:t>受限原因</w:t>
            </w:r>
          </w:p>
        </w:tc>
      </w:tr>
      <w:tr w:rsidR="000C39A3">
        <w:trPr>
          <w:divId w:val="1420175540"/>
          <w:trHeight w:val="270"/>
        </w:trPr>
        <w:tc>
          <w:tcPr>
            <w:tcW w:w="13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0C39A3" w:rsidRDefault="000C39A3">
            <w:pPr>
              <w:rPr>
                <w:sz w:val="18"/>
                <w:szCs w:val="18"/>
              </w:rPr>
            </w:pPr>
            <w:r>
              <w:rPr>
                <w:rFonts w:hint="eastAsia"/>
                <w:sz w:val="18"/>
                <w:szCs w:val="18"/>
              </w:rPr>
              <w:t>货币资金</w:t>
            </w:r>
          </w:p>
        </w:tc>
        <w:tc>
          <w:tcPr>
            <w:tcW w:w="1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jc w:val="right"/>
              <w:rPr>
                <w:sz w:val="18"/>
                <w:szCs w:val="18"/>
              </w:rPr>
            </w:pPr>
            <w:r>
              <w:rPr>
                <w:rFonts w:hint="eastAsia"/>
                <w:sz w:val="18"/>
                <w:szCs w:val="18"/>
              </w:rPr>
              <w:t>1,500,000.00</w:t>
            </w:r>
          </w:p>
        </w:tc>
        <w:tc>
          <w:tcPr>
            <w:tcW w:w="298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rPr>
                <w:sz w:val="18"/>
                <w:szCs w:val="18"/>
              </w:rPr>
            </w:pPr>
            <w:r>
              <w:rPr>
                <w:rFonts w:hint="eastAsia"/>
                <w:sz w:val="18"/>
                <w:szCs w:val="18"/>
              </w:rPr>
              <w:t>银行承兑汇票保证金</w:t>
            </w:r>
          </w:p>
        </w:tc>
      </w:tr>
      <w:tr w:rsidR="000C39A3">
        <w:trPr>
          <w:divId w:val="1420175540"/>
          <w:trHeight w:val="270"/>
        </w:trPr>
        <w:tc>
          <w:tcPr>
            <w:tcW w:w="13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0C39A3" w:rsidRDefault="000C39A3">
            <w:pPr>
              <w:rPr>
                <w:sz w:val="18"/>
                <w:szCs w:val="18"/>
              </w:rPr>
            </w:pPr>
            <w:r>
              <w:rPr>
                <w:rFonts w:hint="eastAsia"/>
                <w:sz w:val="18"/>
                <w:szCs w:val="18"/>
              </w:rPr>
              <w:t>应收票据</w:t>
            </w:r>
          </w:p>
        </w:tc>
        <w:tc>
          <w:tcPr>
            <w:tcW w:w="1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jc w:val="right"/>
              <w:rPr>
                <w:sz w:val="18"/>
                <w:szCs w:val="18"/>
              </w:rPr>
            </w:pPr>
            <w:r>
              <w:rPr>
                <w:rFonts w:hint="eastAsia"/>
                <w:sz w:val="18"/>
                <w:szCs w:val="18"/>
              </w:rPr>
              <w:t>19,505,829.15</w:t>
            </w:r>
          </w:p>
        </w:tc>
        <w:tc>
          <w:tcPr>
            <w:tcW w:w="298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rPr>
                <w:sz w:val="18"/>
                <w:szCs w:val="18"/>
              </w:rPr>
            </w:pPr>
            <w:r>
              <w:rPr>
                <w:rFonts w:hint="eastAsia"/>
                <w:sz w:val="18"/>
                <w:szCs w:val="18"/>
              </w:rPr>
              <w:t>票据已背书但未终止确认</w:t>
            </w:r>
          </w:p>
        </w:tc>
      </w:tr>
      <w:tr w:rsidR="000C39A3">
        <w:trPr>
          <w:divId w:val="1420175540"/>
          <w:trHeight w:val="300"/>
        </w:trPr>
        <w:tc>
          <w:tcPr>
            <w:tcW w:w="13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0C39A3" w:rsidRDefault="000C39A3">
            <w:pPr>
              <w:rPr>
                <w:sz w:val="18"/>
                <w:szCs w:val="18"/>
              </w:rPr>
            </w:pPr>
            <w:r>
              <w:rPr>
                <w:rFonts w:hint="eastAsia"/>
                <w:sz w:val="18"/>
                <w:szCs w:val="18"/>
              </w:rPr>
              <w:t>合计</w:t>
            </w:r>
          </w:p>
        </w:tc>
        <w:tc>
          <w:tcPr>
            <w:tcW w:w="1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jc w:val="right"/>
              <w:rPr>
                <w:sz w:val="18"/>
                <w:szCs w:val="18"/>
              </w:rPr>
            </w:pPr>
            <w:r>
              <w:rPr>
                <w:rFonts w:hint="eastAsia"/>
                <w:sz w:val="18"/>
                <w:szCs w:val="18"/>
              </w:rPr>
              <w:t>21,005,829.15</w:t>
            </w:r>
          </w:p>
        </w:tc>
        <w:tc>
          <w:tcPr>
            <w:tcW w:w="298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0C39A3" w:rsidRDefault="000C39A3">
            <w:pPr>
              <w:rPr>
                <w:rFonts w:ascii="Calibri" w:hAnsi="Calibri" w:cs="Calibri"/>
                <w:sz w:val="22"/>
              </w:rPr>
            </w:pPr>
            <w:r>
              <w:rPr>
                <w:rFonts w:ascii="Calibri" w:hAnsi="Calibri" w:cs="Calibri"/>
                <w:sz w:val="22"/>
              </w:rPr>
              <w:t xml:space="preserve">　</w:t>
            </w:r>
          </w:p>
        </w:tc>
      </w:tr>
    </w:tbl>
    <w:p w:rsidR="000C39A3" w:rsidRDefault="000C39A3">
      <w:pPr>
        <w:pStyle w:val="a4"/>
        <w:divId w:val="1420175540"/>
        <w:rPr>
          <w:sz w:val="18"/>
          <w:szCs w:val="18"/>
        </w:rPr>
      </w:pPr>
      <w:r>
        <w:rPr>
          <w:rFonts w:hint="eastAsia"/>
          <w:sz w:val="18"/>
          <w:szCs w:val="18"/>
        </w:rPr>
        <w:lastRenderedPageBreak/>
        <w:t> </w:t>
      </w:r>
    </w:p>
    <w:p w:rsidR="0080594E" w:rsidRDefault="000C39A3">
      <w:pPr>
        <w:pStyle w:val="2"/>
        <w:spacing w:before="300" w:after="300" w:line="320" w:lineRule="exact"/>
        <w:rPr>
          <w:rFonts w:ascii="宋体" w:eastAsia="宋体" w:hAnsi="宋体" w:cs="宋体"/>
          <w:b/>
          <w:bCs/>
          <w:sz w:val="24"/>
          <w:szCs w:val="24"/>
        </w:rPr>
      </w:pPr>
      <w:bookmarkStart w:id="36" w:name="_Toc988924"/>
      <w:r>
        <w:rPr>
          <w:rFonts w:ascii="宋体" w:eastAsia="宋体" w:hAnsi="宋体" w:cs="宋体"/>
          <w:b/>
          <w:bCs/>
          <w:sz w:val="24"/>
          <w:szCs w:val="24"/>
        </w:rPr>
        <w:t>七、投资状况分析</w:t>
      </w:r>
      <w:bookmarkEnd w:id="36"/>
    </w:p>
    <w:p w:rsidR="0080594E" w:rsidRDefault="000C39A3">
      <w:pPr>
        <w:pStyle w:val="3"/>
        <w:spacing w:line="280" w:lineRule="exact"/>
        <w:jc w:val="left"/>
        <w:rPr>
          <w:rFonts w:ascii="宋体" w:hAnsi="宋体" w:cs="宋体"/>
          <w:b/>
          <w:bCs/>
        </w:rPr>
      </w:pPr>
      <w:bookmarkStart w:id="37" w:name="_Toc988925"/>
      <w:r>
        <w:rPr>
          <w:rFonts w:ascii="宋体" w:hAnsi="宋体" w:cs="宋体"/>
          <w:b/>
          <w:bCs/>
        </w:rPr>
        <w:t>1、总体情况</w:t>
      </w:r>
      <w:bookmarkEnd w:id="37"/>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上年同期投资额（元）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变动幅度</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699,560,000.00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2,349,000,000.00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-70.22%</w:t>
            </w:r>
          </w:p>
        </w:tc>
      </w:tr>
    </w:tbl>
    <w:p w:rsidR="0080594E" w:rsidRDefault="000C39A3">
      <w:pPr>
        <w:pStyle w:val="3"/>
        <w:spacing w:line="280" w:lineRule="exact"/>
        <w:jc w:val="left"/>
        <w:rPr>
          <w:rFonts w:ascii="宋体" w:hAnsi="宋体" w:cs="宋体"/>
          <w:b/>
          <w:bCs/>
        </w:rPr>
      </w:pPr>
      <w:bookmarkStart w:id="38" w:name="_Toc988926"/>
      <w:r>
        <w:rPr>
          <w:rFonts w:ascii="宋体" w:hAnsi="宋体" w:cs="宋体"/>
          <w:b/>
          <w:bCs/>
        </w:rPr>
        <w:t>2、报告期内获取的重大的股权投资情况</w:t>
      </w:r>
      <w:bookmarkEnd w:id="38"/>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39" w:name="_Toc988927"/>
      <w:r>
        <w:rPr>
          <w:rFonts w:ascii="宋体" w:hAnsi="宋体" w:cs="宋体"/>
          <w:b/>
          <w:bCs/>
        </w:rPr>
        <w:t>3、报告期内正在进行的重大的非股权投资情况</w:t>
      </w:r>
      <w:bookmarkEnd w:id="39"/>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2"/>
        <w:gridCol w:w="742"/>
        <w:gridCol w:w="742"/>
        <w:gridCol w:w="742"/>
        <w:gridCol w:w="742"/>
        <w:gridCol w:w="742"/>
        <w:gridCol w:w="741"/>
        <w:gridCol w:w="741"/>
        <w:gridCol w:w="741"/>
        <w:gridCol w:w="696"/>
        <w:gridCol w:w="709"/>
        <w:gridCol w:w="709"/>
        <w:gridCol w:w="850"/>
      </w:tblGrid>
      <w:tr w:rsidR="0080594E" w:rsidTr="00626E9A">
        <w:trPr>
          <w:trHeight w:val="240"/>
        </w:trPr>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投资方式</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是否为固定资产投资</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投资项目涉及行业</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本报告期投入金额</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截至报告期末累计实际投入金额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资金来源</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项目进度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预计收益</w:t>
            </w:r>
          </w:p>
        </w:tc>
        <w:tc>
          <w:tcPr>
            <w:tcW w:w="69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截止报告期末累计实现的收益</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未达到计划进度和预计收益的原因</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披露日期（如有）</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披露索引（如有）</w:t>
            </w:r>
          </w:p>
        </w:tc>
      </w:tr>
      <w:tr w:rsidR="0080594E" w:rsidTr="00626E9A">
        <w:trPr>
          <w:trHeight w:val="240"/>
        </w:trPr>
        <w:tc>
          <w:tcPr>
            <w:tcW w:w="742" w:type="dxa"/>
            <w:tcBorders>
              <w:top w:val="single" w:sz="2" w:space="0" w:color="auto"/>
              <w:left w:val="single" w:sz="2" w:space="0" w:color="auto"/>
              <w:bottom w:val="single" w:sz="2" w:space="0" w:color="auto"/>
              <w:right w:val="single" w:sz="2" w:space="0" w:color="auto"/>
            </w:tcBorders>
            <w:vAlign w:val="center"/>
          </w:tcPr>
          <w:p w:rsidR="0080594E" w:rsidRDefault="000C39A3" w:rsidP="00F46772">
            <w:pPr>
              <w:spacing w:line="240" w:lineRule="exact"/>
              <w:rPr>
                <w:rFonts w:ascii="宋体" w:eastAsia="宋体" w:hAnsi="宋体" w:cs="宋体"/>
                <w:sz w:val="18"/>
                <w:szCs w:val="18"/>
              </w:rPr>
            </w:pPr>
            <w:r>
              <w:rPr>
                <w:rFonts w:ascii="宋体" w:eastAsia="宋体" w:hAnsi="宋体" w:cs="宋体"/>
                <w:sz w:val="18"/>
                <w:szCs w:val="18"/>
              </w:rPr>
              <w:t>空压机制造基地工程项目</w:t>
            </w:r>
          </w:p>
        </w:tc>
        <w:tc>
          <w:tcPr>
            <w:tcW w:w="74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自建</w:t>
            </w:r>
          </w:p>
        </w:tc>
        <w:tc>
          <w:tcPr>
            <w:tcW w:w="74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c>
          <w:tcPr>
            <w:tcW w:w="74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通用机械</w:t>
            </w:r>
          </w:p>
        </w:tc>
        <w:tc>
          <w:tcPr>
            <w:tcW w:w="742" w:type="dxa"/>
            <w:tcBorders>
              <w:top w:val="single" w:sz="2" w:space="0" w:color="auto"/>
              <w:left w:val="single" w:sz="2" w:space="0" w:color="auto"/>
              <w:bottom w:val="single" w:sz="2" w:space="0" w:color="auto"/>
              <w:right w:val="single" w:sz="2" w:space="0" w:color="auto"/>
            </w:tcBorders>
            <w:vAlign w:val="center"/>
          </w:tcPr>
          <w:p w:rsidR="0080594E" w:rsidRDefault="00F46772">
            <w:pPr>
              <w:spacing w:line="240" w:lineRule="exact"/>
              <w:jc w:val="right"/>
              <w:rPr>
                <w:rFonts w:ascii="宋体" w:eastAsia="宋体" w:hAnsi="宋体" w:cs="宋体"/>
                <w:sz w:val="18"/>
                <w:szCs w:val="18"/>
              </w:rPr>
            </w:pPr>
            <w:r w:rsidRPr="00F46772">
              <w:rPr>
                <w:rFonts w:ascii="宋体" w:eastAsia="宋体" w:hAnsi="宋体" w:cs="宋体"/>
                <w:sz w:val="18"/>
                <w:szCs w:val="18"/>
              </w:rPr>
              <w:t>47,708,829.86</w:t>
            </w:r>
          </w:p>
        </w:tc>
        <w:tc>
          <w:tcPr>
            <w:tcW w:w="742" w:type="dxa"/>
            <w:tcBorders>
              <w:top w:val="single" w:sz="2" w:space="0" w:color="auto"/>
              <w:left w:val="single" w:sz="2" w:space="0" w:color="auto"/>
              <w:bottom w:val="single" w:sz="2" w:space="0" w:color="auto"/>
              <w:right w:val="single" w:sz="2" w:space="0" w:color="auto"/>
            </w:tcBorders>
            <w:vAlign w:val="center"/>
          </w:tcPr>
          <w:p w:rsidR="0080594E" w:rsidRDefault="00F46772">
            <w:pPr>
              <w:spacing w:line="240" w:lineRule="exact"/>
              <w:jc w:val="right"/>
              <w:rPr>
                <w:rFonts w:ascii="宋体" w:eastAsia="宋体" w:hAnsi="宋体" w:cs="宋体"/>
                <w:sz w:val="18"/>
                <w:szCs w:val="18"/>
              </w:rPr>
            </w:pPr>
            <w:r w:rsidRPr="00F46772">
              <w:rPr>
                <w:rFonts w:ascii="宋体" w:eastAsia="宋体" w:hAnsi="宋体" w:cs="宋体"/>
                <w:sz w:val="18"/>
                <w:szCs w:val="18"/>
              </w:rPr>
              <w:t>47,708,829.86</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自有资金</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F46772">
            <w:pPr>
              <w:spacing w:line="240" w:lineRule="exact"/>
              <w:jc w:val="right"/>
              <w:rPr>
                <w:rFonts w:ascii="宋体" w:eastAsia="宋体" w:hAnsi="宋体" w:cs="宋体"/>
                <w:sz w:val="18"/>
                <w:szCs w:val="18"/>
              </w:rPr>
            </w:pPr>
            <w:r w:rsidRPr="00F46772">
              <w:rPr>
                <w:rFonts w:ascii="宋体" w:eastAsia="宋体" w:hAnsi="宋体" w:cs="宋体"/>
                <w:sz w:val="18"/>
                <w:szCs w:val="18"/>
              </w:rPr>
              <w:t>6.51%</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9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建设中</w:t>
            </w:r>
          </w:p>
        </w:tc>
        <w:tc>
          <w:tcPr>
            <w:tcW w:w="709"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2022年08月30日</w:t>
            </w:r>
          </w:p>
        </w:tc>
        <w:tc>
          <w:tcPr>
            <w:tcW w:w="850" w:type="dxa"/>
            <w:tcBorders>
              <w:top w:val="single" w:sz="2" w:space="0" w:color="auto"/>
              <w:left w:val="single" w:sz="2" w:space="0" w:color="auto"/>
              <w:bottom w:val="single" w:sz="2" w:space="0" w:color="auto"/>
              <w:right w:val="single" w:sz="2" w:space="0" w:color="auto"/>
            </w:tcBorders>
            <w:vAlign w:val="center"/>
          </w:tcPr>
          <w:p w:rsidR="0080594E" w:rsidRDefault="00F46772">
            <w:pPr>
              <w:spacing w:line="240" w:lineRule="exact"/>
              <w:rPr>
                <w:rFonts w:ascii="宋体" w:eastAsia="宋体" w:hAnsi="宋体" w:cs="宋体"/>
                <w:sz w:val="18"/>
                <w:szCs w:val="18"/>
              </w:rPr>
            </w:pPr>
            <w:r>
              <w:rPr>
                <w:rFonts w:ascii="宋体" w:hAnsi="宋体" w:cs="宋体"/>
                <w:sz w:val="18"/>
                <w:szCs w:val="18"/>
              </w:rPr>
              <w:t>详见巨潮资讯网（www.cninfo.com.cn）</w:t>
            </w:r>
            <w:r>
              <w:rPr>
                <w:rFonts w:ascii="宋体" w:hAnsi="宋体" w:cs="宋体" w:hint="eastAsia"/>
                <w:sz w:val="18"/>
                <w:szCs w:val="18"/>
              </w:rPr>
              <w:t>《</w:t>
            </w:r>
            <w:r>
              <w:rPr>
                <w:rFonts w:ascii="宋体" w:hAnsi="宋体" w:cs="宋体"/>
                <w:sz w:val="18"/>
                <w:szCs w:val="18"/>
              </w:rPr>
              <w:t>厦门东亚机械工业股份有限公司</w:t>
            </w:r>
            <w:r w:rsidRPr="00EF50E2">
              <w:rPr>
                <w:rFonts w:ascii="宋体" w:eastAsia="宋体" w:hAnsi="宋体" w:cs="宋体"/>
                <w:sz w:val="18"/>
                <w:szCs w:val="18"/>
                <w:bdr w:val="none" w:sz="4" w:space="0" w:color="auto"/>
              </w:rPr>
              <w:t>关于投资建设空压机制造基地工程项目的公告</w:t>
            </w:r>
            <w:r>
              <w:rPr>
                <w:rFonts w:ascii="宋体" w:hAnsi="宋体" w:cs="宋体" w:hint="eastAsia"/>
                <w:sz w:val="18"/>
                <w:szCs w:val="18"/>
                <w:bdr w:val="none" w:sz="4" w:space="0" w:color="auto"/>
              </w:rPr>
              <w:t>》（</w:t>
            </w:r>
            <w:r>
              <w:rPr>
                <w:rFonts w:ascii="宋体" w:hAnsi="宋体" w:cs="宋体"/>
                <w:sz w:val="18"/>
                <w:szCs w:val="18"/>
              </w:rPr>
              <w:t>公告编号：2022-053</w:t>
            </w:r>
            <w:r>
              <w:rPr>
                <w:rFonts w:ascii="宋体" w:hAnsi="宋体" w:cs="宋体" w:hint="eastAsia"/>
                <w:sz w:val="18"/>
                <w:szCs w:val="18"/>
              </w:rPr>
              <w:t>）</w:t>
            </w:r>
          </w:p>
        </w:tc>
      </w:tr>
      <w:tr w:rsidR="0080594E" w:rsidTr="00626E9A">
        <w:trPr>
          <w:trHeight w:val="240"/>
        </w:trPr>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vAlign w:val="center"/>
          </w:tcPr>
          <w:p w:rsidR="0080594E" w:rsidRDefault="00F46772">
            <w:pPr>
              <w:spacing w:line="240" w:lineRule="exact"/>
              <w:jc w:val="right"/>
              <w:rPr>
                <w:rFonts w:ascii="宋体" w:eastAsia="宋体" w:hAnsi="宋体" w:cs="宋体"/>
                <w:sz w:val="18"/>
                <w:szCs w:val="18"/>
              </w:rPr>
            </w:pPr>
            <w:r w:rsidRPr="00F46772">
              <w:rPr>
                <w:rFonts w:ascii="宋体" w:eastAsia="宋体" w:hAnsi="宋体" w:cs="宋体"/>
                <w:sz w:val="18"/>
                <w:szCs w:val="18"/>
              </w:rPr>
              <w:t>47,708,829.86</w:t>
            </w:r>
          </w:p>
        </w:tc>
        <w:tc>
          <w:tcPr>
            <w:tcW w:w="742" w:type="dxa"/>
            <w:tcBorders>
              <w:top w:val="single" w:sz="2" w:space="0" w:color="auto"/>
              <w:left w:val="single" w:sz="2" w:space="0" w:color="auto"/>
              <w:bottom w:val="single" w:sz="2" w:space="0" w:color="auto"/>
              <w:right w:val="single" w:sz="2" w:space="0" w:color="auto"/>
            </w:tcBorders>
            <w:vAlign w:val="center"/>
          </w:tcPr>
          <w:p w:rsidR="0080594E" w:rsidRDefault="00F46772">
            <w:pPr>
              <w:spacing w:line="240" w:lineRule="exact"/>
              <w:jc w:val="right"/>
              <w:rPr>
                <w:rFonts w:ascii="宋体" w:eastAsia="宋体" w:hAnsi="宋体" w:cs="宋体"/>
                <w:sz w:val="18"/>
                <w:szCs w:val="18"/>
              </w:rPr>
            </w:pPr>
            <w:r w:rsidRPr="00F46772">
              <w:rPr>
                <w:rFonts w:ascii="宋体" w:eastAsia="宋体" w:hAnsi="宋体" w:cs="宋体"/>
                <w:sz w:val="18"/>
                <w:szCs w:val="18"/>
              </w:rPr>
              <w:t>47,708,829.86</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9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80594E" w:rsidRDefault="000C39A3">
      <w:pPr>
        <w:pStyle w:val="3"/>
        <w:spacing w:line="280" w:lineRule="exact"/>
        <w:jc w:val="left"/>
        <w:rPr>
          <w:rFonts w:ascii="宋体" w:hAnsi="宋体" w:cs="宋体"/>
          <w:b/>
          <w:bCs/>
        </w:rPr>
      </w:pPr>
      <w:bookmarkStart w:id="40" w:name="_Toc988928"/>
      <w:r>
        <w:rPr>
          <w:rFonts w:ascii="宋体" w:hAnsi="宋体" w:cs="宋体"/>
          <w:b/>
          <w:bCs/>
        </w:rPr>
        <w:lastRenderedPageBreak/>
        <w:t>4、金融资产投资</w:t>
      </w:r>
      <w:bookmarkEnd w:id="40"/>
    </w:p>
    <w:p w:rsidR="0080594E" w:rsidRDefault="000C39A3">
      <w:pPr>
        <w:keepNext/>
        <w:keepLines/>
        <w:spacing w:before="300" w:after="300" w:line="280" w:lineRule="exact"/>
        <w:outlineLvl w:val="3"/>
        <w:rPr>
          <w:rFonts w:ascii="宋体" w:eastAsia="宋体" w:hAnsi="宋体" w:cs="宋体"/>
          <w:b/>
          <w:bCs/>
          <w:sz w:val="18"/>
          <w:szCs w:val="18"/>
        </w:rPr>
      </w:pPr>
      <w:bookmarkStart w:id="41" w:name="_Toc988929"/>
      <w:r>
        <w:rPr>
          <w:rFonts w:ascii="宋体" w:eastAsia="宋体" w:hAnsi="宋体" w:cs="宋体"/>
          <w:b/>
          <w:bCs/>
          <w:sz w:val="18"/>
          <w:szCs w:val="18"/>
        </w:rPr>
        <w:t>（1） 证券投资情况</w:t>
      </w:r>
      <w:bookmarkEnd w:id="4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公司报告期不存在证券投资。</w:t>
      </w:r>
    </w:p>
    <w:p w:rsidR="0080594E" w:rsidRDefault="000C39A3">
      <w:pPr>
        <w:keepNext/>
        <w:keepLines/>
        <w:spacing w:before="300" w:after="300" w:line="280" w:lineRule="exact"/>
        <w:outlineLvl w:val="3"/>
        <w:rPr>
          <w:rFonts w:ascii="宋体" w:eastAsia="宋体" w:hAnsi="宋体" w:cs="宋体"/>
          <w:b/>
          <w:bCs/>
          <w:sz w:val="18"/>
          <w:szCs w:val="18"/>
        </w:rPr>
      </w:pPr>
      <w:bookmarkStart w:id="42" w:name="_Toc988930"/>
      <w:r>
        <w:rPr>
          <w:rFonts w:ascii="宋体" w:eastAsia="宋体" w:hAnsi="宋体" w:cs="宋体"/>
          <w:b/>
          <w:bCs/>
          <w:sz w:val="18"/>
          <w:szCs w:val="18"/>
        </w:rPr>
        <w:t>（2） 衍生品投资情况</w:t>
      </w:r>
      <w:bookmarkEnd w:id="42"/>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公司报告期不存在衍生品投资。</w:t>
      </w:r>
    </w:p>
    <w:p w:rsidR="0080594E" w:rsidRDefault="000C39A3">
      <w:pPr>
        <w:pStyle w:val="3"/>
        <w:spacing w:line="280" w:lineRule="exact"/>
        <w:jc w:val="left"/>
        <w:rPr>
          <w:rFonts w:ascii="宋体" w:hAnsi="宋体" w:cs="宋体"/>
          <w:b/>
          <w:bCs/>
        </w:rPr>
      </w:pPr>
      <w:bookmarkStart w:id="43" w:name="_Toc988931"/>
      <w:r>
        <w:rPr>
          <w:rFonts w:ascii="宋体" w:hAnsi="宋体" w:cs="宋体"/>
          <w:b/>
          <w:bCs/>
        </w:rPr>
        <w:t>5、募集资金使用情况</w:t>
      </w:r>
      <w:bookmarkEnd w:id="43"/>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keepNext/>
        <w:keepLines/>
        <w:spacing w:before="300" w:after="300" w:line="280" w:lineRule="exact"/>
        <w:outlineLvl w:val="3"/>
        <w:rPr>
          <w:rFonts w:ascii="宋体" w:eastAsia="宋体" w:hAnsi="宋体" w:cs="宋体"/>
          <w:b/>
          <w:bCs/>
          <w:sz w:val="18"/>
          <w:szCs w:val="18"/>
        </w:rPr>
      </w:pPr>
      <w:bookmarkStart w:id="44" w:name="_Toc988932"/>
      <w:r>
        <w:rPr>
          <w:rFonts w:ascii="宋体" w:eastAsia="宋体" w:hAnsi="宋体" w:cs="宋体"/>
          <w:b/>
          <w:bCs/>
          <w:sz w:val="18"/>
          <w:szCs w:val="18"/>
        </w:rPr>
        <w:t>（1） 募集资金总体使用情况</w:t>
      </w:r>
      <w:bookmarkEnd w:id="44"/>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6"/>
        <w:gridCol w:w="876"/>
        <w:gridCol w:w="876"/>
        <w:gridCol w:w="876"/>
        <w:gridCol w:w="876"/>
        <w:gridCol w:w="876"/>
        <w:gridCol w:w="876"/>
        <w:gridCol w:w="876"/>
        <w:gridCol w:w="876"/>
        <w:gridCol w:w="876"/>
        <w:gridCol w:w="879"/>
      </w:tblGrid>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募集年份</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募集方式</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本期已使用募集资金总额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已累计使用募集资金总额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报告期内变更用途的募集资金总额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累计变更用途的募集资金总额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累计变更用途的募集资金总额比例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尚未使用募集资金总额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尚未使用募集资金用途及去向</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闲置两年以上募集资金金额</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2021年7月</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首次公开发行</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3,925.18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37,082.52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7,340.83</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存放于募集资金专户</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3,925.18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37,082.52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7,340.83</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募集资金总体使用情况说明</w:t>
            </w:r>
          </w:p>
        </w:tc>
      </w:tr>
      <w:tr w:rsidR="0080594E">
        <w:trPr>
          <w:trHeight w:val="240"/>
        </w:trPr>
        <w:tc>
          <w:tcPr>
            <w:tcW w:w="9639"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rsidP="00626E9A">
            <w:pPr>
              <w:spacing w:line="240" w:lineRule="exact"/>
              <w:jc w:val="both"/>
              <w:rPr>
                <w:rFonts w:ascii="宋体" w:eastAsia="宋体" w:hAnsi="宋体" w:cs="宋体"/>
                <w:sz w:val="18"/>
                <w:szCs w:val="18"/>
              </w:rPr>
            </w:pPr>
            <w:r>
              <w:rPr>
                <w:rFonts w:ascii="宋体" w:eastAsia="宋体" w:hAnsi="宋体" w:cs="宋体"/>
                <w:sz w:val="18"/>
                <w:szCs w:val="18"/>
              </w:rPr>
              <w:t>经中国证券监督管理委员会《关于同意厦门东亚机械工业股份有限公司首次公开发行股票注册的批复》（证监许可[2021]1715号）同意注册，厦门东亚机械工业股份有限公司首次公开发行人民币普通股（A股）95,000,000股，发行价格为人民币5.31元/股，募集资金总额为人民币50,445.00万元，扣除发行费用人民币6,220.74万元（不含税）后，公司本次募集资金净额为人民币44,224.26万元。上述资金到账情况业经容诚会计师事务所（特殊普通合伙）容诚验字[2021]361Z0066号《验资报告》验证。公司已将上述募集资金存放于募集资金专项账户，并与保荐机构、存放募集资金的相关银行签署了《募集资金三方监管协议》，对募集资金的存放和使用进行专户管理。截至2022年12月31日，公司尚未使用募集资金总额为7,340.83万元（含利息收入199.09万元），存放于募集资金专项账户中。</w:t>
            </w:r>
          </w:p>
        </w:tc>
      </w:tr>
    </w:tbl>
    <w:p w:rsidR="0080594E" w:rsidRDefault="000C39A3">
      <w:pPr>
        <w:keepNext/>
        <w:keepLines/>
        <w:spacing w:before="300" w:after="300" w:line="280" w:lineRule="exact"/>
        <w:outlineLvl w:val="3"/>
        <w:rPr>
          <w:rFonts w:ascii="宋体" w:eastAsia="宋体" w:hAnsi="宋体" w:cs="宋体"/>
          <w:b/>
          <w:bCs/>
          <w:sz w:val="18"/>
          <w:szCs w:val="18"/>
        </w:rPr>
      </w:pPr>
      <w:bookmarkStart w:id="45" w:name="_Toc988933"/>
      <w:r>
        <w:rPr>
          <w:rFonts w:ascii="宋体" w:eastAsia="宋体" w:hAnsi="宋体" w:cs="宋体"/>
          <w:b/>
          <w:bCs/>
          <w:sz w:val="18"/>
          <w:szCs w:val="18"/>
        </w:rPr>
        <w:t>（2） 募集资金承诺项目情况</w:t>
      </w:r>
      <w:bookmarkEnd w:id="45"/>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3"/>
        <w:gridCol w:w="803"/>
        <w:gridCol w:w="803"/>
        <w:gridCol w:w="803"/>
        <w:gridCol w:w="803"/>
        <w:gridCol w:w="803"/>
        <w:gridCol w:w="803"/>
        <w:gridCol w:w="803"/>
        <w:gridCol w:w="803"/>
        <w:gridCol w:w="803"/>
        <w:gridCol w:w="803"/>
        <w:gridCol w:w="806"/>
      </w:tblGrid>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承诺投资项目和超募资金投向</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是否已变更项目(含部分变更)</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募集资金承诺投资总额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调整后投资总额(1)</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本报告期投入金额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截至期末累计投入金额(2)</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截至期末投资进度(3)＝(2)/(1)</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项目达到预定可使用状态日期</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本报告期实现的效益</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截止报告期末累计实现的效益</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是否达到预计效益</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项目可行性是否发生重大变化</w:t>
            </w:r>
          </w:p>
        </w:tc>
      </w:tr>
      <w:tr w:rsidR="0080594E" w:rsidTr="008071B9">
        <w:trPr>
          <w:trHeight w:val="240"/>
        </w:trPr>
        <w:tc>
          <w:tcPr>
            <w:tcW w:w="9639"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承诺投资项目</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年产3万台空压机扩产项目</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39,561</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24,407.26</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1,959.22</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23,923.54</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98.02%</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rsidP="00CA380D">
            <w:pPr>
              <w:spacing w:line="240" w:lineRule="exact"/>
              <w:rPr>
                <w:rFonts w:ascii="宋体" w:eastAsia="宋体" w:hAnsi="宋体" w:cs="宋体"/>
                <w:sz w:val="18"/>
                <w:szCs w:val="18"/>
              </w:rPr>
            </w:pPr>
            <w:r>
              <w:rPr>
                <w:rFonts w:ascii="宋体" w:eastAsia="宋体" w:hAnsi="宋体" w:cs="宋体"/>
                <w:sz w:val="18"/>
                <w:szCs w:val="18"/>
              </w:rPr>
              <w:t>2021年12月</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4,543.37</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5,265.06</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无油螺杆空压机研发及产业化项目</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9,896</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9,896</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1,413.85</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4,023.89</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40.66%</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rsidP="00CA380D">
            <w:pPr>
              <w:spacing w:line="240" w:lineRule="exact"/>
              <w:rPr>
                <w:rFonts w:ascii="宋体" w:eastAsia="宋体" w:hAnsi="宋体" w:cs="宋体"/>
                <w:sz w:val="18"/>
                <w:szCs w:val="18"/>
              </w:rPr>
            </w:pPr>
            <w:r>
              <w:rPr>
                <w:rFonts w:ascii="宋体" w:eastAsia="宋体" w:hAnsi="宋体" w:cs="宋体"/>
                <w:sz w:val="18"/>
                <w:szCs w:val="18"/>
              </w:rPr>
              <w:t>2023年12月</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研发中心升级建设项目</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4,921</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4,921</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552.11</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4,133.01</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83.99%</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rsidP="00CA380D">
            <w:pPr>
              <w:spacing w:line="240" w:lineRule="exact"/>
              <w:rPr>
                <w:rFonts w:ascii="宋体" w:eastAsia="宋体" w:hAnsi="宋体" w:cs="宋体"/>
                <w:sz w:val="18"/>
                <w:szCs w:val="18"/>
              </w:rPr>
            </w:pPr>
            <w:r>
              <w:rPr>
                <w:rFonts w:ascii="宋体" w:eastAsia="宋体" w:hAnsi="宋体" w:cs="宋体"/>
                <w:sz w:val="18"/>
                <w:szCs w:val="18"/>
              </w:rPr>
              <w:t>2023年12月</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补充流动资金</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16,000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5,000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5,002.08</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100.04%</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A63893">
            <w:pPr>
              <w:spacing w:line="240" w:lineRule="exact"/>
              <w:rPr>
                <w:rFonts w:ascii="宋体" w:eastAsia="宋体" w:hAnsi="宋体" w:cs="宋体"/>
                <w:sz w:val="18"/>
                <w:szCs w:val="18"/>
              </w:rPr>
            </w:pPr>
            <w:r>
              <w:rPr>
                <w:rFonts w:ascii="宋体" w:hAnsi="宋体" w:cs="宋体"/>
                <w:sz w:val="18"/>
                <w:szCs w:val="18"/>
              </w:rPr>
              <w:t>不适用</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承诺投资项目小计</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70,378</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3,925.18</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37,082.52</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4,543.37</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5,265.06</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80594E" w:rsidTr="008071B9">
        <w:trPr>
          <w:trHeight w:val="240"/>
        </w:trPr>
        <w:tc>
          <w:tcPr>
            <w:tcW w:w="9639"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超募资金投向</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70,378</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3,925.18</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37,082.52</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4,543.37</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5,265.06</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分项目说明未达到计划进度、预计收益的情况和原因（含“是否达到预计效益”选择“不适用”的原因）</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上述募集资金投资项目是基于公司发展战略、业务开展情况和行业发展趋势确定的，项目主要实施目的系提高公司主营业务的研发创新水平，进一步提升公司主营业务的综合竞争实力等。本次募投项目在前期虽经过充分的可行性论证，但实际执行过程中受公司实际经营情况、市场环境等多方面因素的影响，无法在计划时间内达到预定可使用状态。经审慎研究，公司决定放缓对相关软硬件设施的采购投入，将募投项目“无油螺杆空压机研发及产业化项目”和“研发中心升级建设项目”的达到预定可使用状态日期调整至2023年12月。</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项目可行性发生重大变化的情况说明</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超募资金的金额、用途及使用进展情况</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rsidTr="008071B9">
        <w:trPr>
          <w:trHeight w:val="240"/>
        </w:trPr>
        <w:tc>
          <w:tcPr>
            <w:tcW w:w="8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募集资金投资项目实施地点变更情</w:t>
            </w:r>
            <w:r>
              <w:rPr>
                <w:rFonts w:ascii="宋体" w:eastAsia="宋体" w:hAnsi="宋体" w:cs="宋体"/>
                <w:sz w:val="18"/>
                <w:szCs w:val="18"/>
              </w:rPr>
              <w:lastRenderedPageBreak/>
              <w:t>况</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适用</w:t>
            </w:r>
          </w:p>
        </w:tc>
      </w:tr>
      <w:tr w:rsidR="0080594E" w:rsidTr="008071B9">
        <w:trPr>
          <w:trHeight w:val="240"/>
        </w:trPr>
        <w:tc>
          <w:tcPr>
            <w:tcW w:w="8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以前年度发生</w:t>
            </w:r>
          </w:p>
        </w:tc>
      </w:tr>
      <w:tr w:rsidR="0080594E" w:rsidTr="008071B9">
        <w:trPr>
          <w:trHeight w:val="240"/>
        </w:trPr>
        <w:tc>
          <w:tcPr>
            <w:tcW w:w="8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司于2021年12月8日召开第二届董事会第二十一次会议和第二届监事会第十二次会议，于2021年12月24日召开2021年第五次临时股东大会，审议通过了《关于部分募投项目实施地点、实施方式变更及投资金额调整的议案》，同意将“年产3万台空压机扩产项目”的实施地点由“厦门市同安区通福路与官浔路交叉口西</w:t>
            </w:r>
            <w:r>
              <w:rPr>
                <w:rFonts w:ascii="宋体" w:eastAsia="宋体" w:hAnsi="宋体" w:cs="宋体"/>
                <w:sz w:val="18"/>
                <w:szCs w:val="18"/>
              </w:rPr>
              <w:lastRenderedPageBreak/>
              <w:t>北侧地块”变更为“厦门市同安区西柯镇西柯街611号”。</w:t>
            </w:r>
          </w:p>
        </w:tc>
      </w:tr>
      <w:tr w:rsidR="0080594E" w:rsidTr="008071B9">
        <w:trPr>
          <w:trHeight w:val="240"/>
        </w:trPr>
        <w:tc>
          <w:tcPr>
            <w:tcW w:w="8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募集资金投资项目实施方式调整情况</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适用</w:t>
            </w:r>
          </w:p>
        </w:tc>
      </w:tr>
      <w:tr w:rsidR="0080594E" w:rsidTr="008071B9">
        <w:trPr>
          <w:trHeight w:val="240"/>
        </w:trPr>
        <w:tc>
          <w:tcPr>
            <w:tcW w:w="8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以前年度发生</w:t>
            </w:r>
          </w:p>
        </w:tc>
      </w:tr>
      <w:tr w:rsidR="0080594E" w:rsidTr="008071B9">
        <w:trPr>
          <w:trHeight w:val="240"/>
        </w:trPr>
        <w:tc>
          <w:tcPr>
            <w:tcW w:w="8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司于2021年12月8日召开第二届董事会第二十一次会议和第二届监事会第十二次会议，于2021年12月24日召开2021年第五次临时股东大会，审议通过了《关于部分募投项目实施地点、实施方式变更及投资金额调整的议案》，同意将“年产3万台空压机扩产项目”的实施方式由新建厂房变更为利用现有厂房。</w:t>
            </w:r>
          </w:p>
        </w:tc>
      </w:tr>
      <w:tr w:rsidR="0080594E" w:rsidTr="008071B9">
        <w:trPr>
          <w:trHeight w:val="240"/>
        </w:trPr>
        <w:tc>
          <w:tcPr>
            <w:tcW w:w="8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募集资金投资项目先期投入及置换情况</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适用</w:t>
            </w:r>
          </w:p>
        </w:tc>
      </w:tr>
      <w:tr w:rsidR="0080594E" w:rsidTr="008071B9">
        <w:trPr>
          <w:trHeight w:val="240"/>
        </w:trPr>
        <w:tc>
          <w:tcPr>
            <w:tcW w:w="8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司于2021年8月2日召开的第二届董事会第十七次会议和第二届监事会第八次会议，审议通过了《关于使用募集资金置换预先投入募投项目和预先支付发行费用的自筹资金的议案》，同意公司使用募集资金置换预先投入的自筹资金22,318.22万元，及已支付的发行费用800.49万元，共计23,118.71万元。公司独立董事、监事会和保荐机构已发表明确同意意见。容诚会计师事务所（特殊普通合伙）鉴证并出具了《关于厦门东亚机械工业股份有限公司以自筹资金预先投入募集资金投资项目及支付发行费用的鉴证报告》（容诚专字[2021]361Z0444号）。</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用闲置募集资金暂时补充流动资金情况</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项目实施出现募集资金结余的金额及原因</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尚未使用的募集资金用途及去向</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截至2022年12月31日，公司尚未使用募集资金总额为7,340.83万元，存放于募集资金专项账户中。</w:t>
            </w:r>
          </w:p>
        </w:tc>
      </w:tr>
      <w:tr w:rsidR="0080594E" w:rsidTr="008071B9">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募集资金使用及披露中存在的问题或其他情况</w:t>
            </w:r>
          </w:p>
        </w:tc>
        <w:tc>
          <w:tcPr>
            <w:tcW w:w="8836" w:type="dxa"/>
            <w:gridSpan w:val="11"/>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r>
    </w:tbl>
    <w:p w:rsidR="0080594E" w:rsidRDefault="000C39A3">
      <w:pPr>
        <w:keepNext/>
        <w:keepLines/>
        <w:spacing w:before="300" w:after="300" w:line="280" w:lineRule="exact"/>
        <w:outlineLvl w:val="3"/>
        <w:rPr>
          <w:rFonts w:ascii="宋体" w:eastAsia="宋体" w:hAnsi="宋体" w:cs="宋体"/>
          <w:b/>
          <w:bCs/>
          <w:sz w:val="18"/>
          <w:szCs w:val="18"/>
        </w:rPr>
      </w:pPr>
      <w:bookmarkStart w:id="46" w:name="_Toc988934"/>
      <w:r>
        <w:rPr>
          <w:rFonts w:ascii="宋体" w:eastAsia="宋体" w:hAnsi="宋体" w:cs="宋体"/>
          <w:b/>
          <w:bCs/>
          <w:sz w:val="18"/>
          <w:szCs w:val="18"/>
        </w:rPr>
        <w:t>（3） 募集资金变更项目情况</w:t>
      </w:r>
      <w:bookmarkEnd w:id="46"/>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公司报告期不存在募集资金变更项目情况。</w:t>
      </w:r>
    </w:p>
    <w:p w:rsidR="0080594E" w:rsidRDefault="000C39A3">
      <w:pPr>
        <w:pStyle w:val="2"/>
        <w:spacing w:before="300" w:after="300" w:line="320" w:lineRule="exact"/>
        <w:rPr>
          <w:rFonts w:ascii="宋体" w:eastAsia="宋体" w:hAnsi="宋体" w:cs="宋体"/>
          <w:b/>
          <w:bCs/>
          <w:sz w:val="24"/>
          <w:szCs w:val="24"/>
        </w:rPr>
      </w:pPr>
      <w:bookmarkStart w:id="47" w:name="_Toc988935"/>
      <w:r>
        <w:rPr>
          <w:rFonts w:ascii="宋体" w:eastAsia="宋体" w:hAnsi="宋体" w:cs="宋体"/>
          <w:b/>
          <w:bCs/>
          <w:sz w:val="24"/>
          <w:szCs w:val="24"/>
        </w:rPr>
        <w:t>八、重大资产和股权出售</w:t>
      </w:r>
      <w:bookmarkEnd w:id="47"/>
    </w:p>
    <w:p w:rsidR="0080594E" w:rsidRDefault="000C39A3">
      <w:pPr>
        <w:pStyle w:val="3"/>
        <w:spacing w:line="280" w:lineRule="exact"/>
        <w:jc w:val="left"/>
        <w:rPr>
          <w:rFonts w:ascii="宋体" w:hAnsi="宋体" w:cs="宋体"/>
          <w:b/>
          <w:bCs/>
        </w:rPr>
      </w:pPr>
      <w:bookmarkStart w:id="48" w:name="_Toc988936"/>
      <w:r>
        <w:rPr>
          <w:rFonts w:ascii="宋体" w:hAnsi="宋体" w:cs="宋体"/>
          <w:b/>
          <w:bCs/>
        </w:rPr>
        <w:t>1、出售重大资产情况</w:t>
      </w:r>
      <w:bookmarkEnd w:id="48"/>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公司报告期未出售重大资产。</w:t>
      </w:r>
    </w:p>
    <w:p w:rsidR="0080594E" w:rsidRDefault="000C39A3">
      <w:pPr>
        <w:pStyle w:val="3"/>
        <w:spacing w:line="280" w:lineRule="exact"/>
        <w:jc w:val="left"/>
        <w:rPr>
          <w:rFonts w:ascii="宋体" w:hAnsi="宋体" w:cs="宋体"/>
          <w:b/>
          <w:bCs/>
        </w:rPr>
      </w:pPr>
      <w:bookmarkStart w:id="49" w:name="_Toc988937"/>
      <w:r>
        <w:rPr>
          <w:rFonts w:ascii="宋体" w:hAnsi="宋体" w:cs="宋体"/>
          <w:b/>
          <w:bCs/>
        </w:rPr>
        <w:lastRenderedPageBreak/>
        <w:t>2、出售重大股权情况</w:t>
      </w:r>
      <w:bookmarkEnd w:id="49"/>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50" w:name="_Toc988938"/>
      <w:r>
        <w:rPr>
          <w:rFonts w:ascii="宋体" w:eastAsia="宋体" w:hAnsi="宋体" w:cs="宋体"/>
          <w:b/>
          <w:bCs/>
          <w:sz w:val="24"/>
          <w:szCs w:val="24"/>
        </w:rPr>
        <w:t>九、主要控股参股公司分析</w:t>
      </w:r>
      <w:bookmarkEnd w:id="5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公司报告期内无应当披露的重要控股参股公司信息。</w:t>
      </w:r>
    </w:p>
    <w:p w:rsidR="0080594E" w:rsidRDefault="000C39A3">
      <w:pPr>
        <w:pStyle w:val="2"/>
        <w:spacing w:before="300" w:after="300" w:line="320" w:lineRule="exact"/>
        <w:rPr>
          <w:rFonts w:ascii="宋体" w:eastAsia="宋体" w:hAnsi="宋体" w:cs="宋体"/>
          <w:b/>
          <w:bCs/>
          <w:sz w:val="24"/>
          <w:szCs w:val="24"/>
        </w:rPr>
      </w:pPr>
      <w:bookmarkStart w:id="51" w:name="_Toc988939"/>
      <w:r>
        <w:rPr>
          <w:rFonts w:ascii="宋体" w:eastAsia="宋体" w:hAnsi="宋体" w:cs="宋体"/>
          <w:b/>
          <w:bCs/>
          <w:sz w:val="24"/>
          <w:szCs w:val="24"/>
        </w:rPr>
        <w:t>十、公司控制的结构化主体情况</w:t>
      </w:r>
      <w:bookmarkEnd w:id="5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52" w:name="_Toc988940"/>
      <w:r>
        <w:rPr>
          <w:rFonts w:ascii="宋体" w:eastAsia="宋体" w:hAnsi="宋体" w:cs="宋体"/>
          <w:b/>
          <w:bCs/>
          <w:sz w:val="24"/>
          <w:szCs w:val="24"/>
        </w:rPr>
        <w:t>十一、公司未来发展的展望</w:t>
      </w:r>
      <w:bookmarkEnd w:id="52"/>
    </w:p>
    <w:p w:rsidR="000C39A3" w:rsidRDefault="000C39A3">
      <w:pPr>
        <w:pStyle w:val="a4"/>
        <w:spacing w:before="0" w:beforeAutospacing="0" w:after="0" w:afterAutospacing="0" w:line="360" w:lineRule="auto"/>
        <w:ind w:firstLine="482"/>
        <w:jc w:val="both"/>
        <w:divId w:val="420416381"/>
        <w:rPr>
          <w:rFonts w:ascii="Times New Roman" w:hAnsi="Times New Roman" w:cs="Times New Roman"/>
          <w:sz w:val="18"/>
          <w:szCs w:val="18"/>
        </w:rPr>
      </w:pPr>
      <w:r>
        <w:rPr>
          <w:rStyle w:val="a5"/>
          <w:rFonts w:cs="Times New Roman" w:hint="eastAsia"/>
        </w:rPr>
        <w:t>（一）公司发展战略</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18"/>
          <w:szCs w:val="18"/>
        </w:rPr>
      </w:pPr>
      <w:r>
        <w:rPr>
          <w:rFonts w:cs="Times New Roman" w:hint="eastAsia"/>
        </w:rPr>
        <w:t>在</w:t>
      </w:r>
      <w:r>
        <w:rPr>
          <w:rFonts w:ascii="Times New Roman" w:hAnsi="Times New Roman" w:cs="Times New Roman"/>
        </w:rPr>
        <w:t>“</w:t>
      </w:r>
      <w:r>
        <w:rPr>
          <w:rFonts w:cs="Times New Roman" w:hint="eastAsia"/>
        </w:rPr>
        <w:t>碳达峰</w:t>
      </w:r>
      <w:r>
        <w:rPr>
          <w:rFonts w:ascii="Times New Roman" w:hAnsi="Times New Roman" w:cs="Times New Roman"/>
        </w:rPr>
        <w:t>”</w:t>
      </w:r>
      <w:r>
        <w:rPr>
          <w:rFonts w:cs="Times New Roman" w:hint="eastAsia"/>
        </w:rPr>
        <w:t>、</w:t>
      </w:r>
      <w:r>
        <w:rPr>
          <w:rFonts w:ascii="Times New Roman" w:hAnsi="Times New Roman" w:cs="Times New Roman"/>
        </w:rPr>
        <w:t>“</w:t>
      </w:r>
      <w:r>
        <w:rPr>
          <w:rFonts w:cs="Times New Roman" w:hint="eastAsia"/>
        </w:rPr>
        <w:t>碳中和</w:t>
      </w:r>
      <w:r>
        <w:rPr>
          <w:rFonts w:ascii="Times New Roman" w:hAnsi="Times New Roman" w:cs="Times New Roman"/>
        </w:rPr>
        <w:t>”</w:t>
      </w:r>
      <w:r>
        <w:rPr>
          <w:rFonts w:cs="Times New Roman" w:hint="eastAsia"/>
        </w:rPr>
        <w:t>背景下，结合节能环保、国产替代等行业趋势， 公司确立了战略目标，即努力通过不断地创新，不断投入研发费用，持续提高公司现有压缩机产品的能效水平，优化压缩机核心设计，采用永磁变频技术，提高所有产品超过一级能效。其次是继续发展新能源、半导体等有关产品应用，开发离心压缩机、推广无油螺杆机、螺杆真空泵等新产品，有规划地对氢能源应用领域压缩机、压缩空气储能技术等进行探索和研发，推动能源行业和半导体行业绿色低碳高质量发展，使得东亚机械成为一家行业领先的压缩机技术龙头企业。</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18"/>
          <w:szCs w:val="18"/>
        </w:rPr>
      </w:pPr>
      <w:r>
        <w:rPr>
          <w:rFonts w:cs="Times New Roman" w:hint="eastAsia"/>
        </w:rPr>
        <w:t>公司将秉持做中国</w:t>
      </w:r>
      <w:r>
        <w:rPr>
          <w:rFonts w:ascii="Times New Roman" w:hAnsi="Times New Roman" w:cs="Times New Roman"/>
        </w:rPr>
        <w:t>“</w:t>
      </w:r>
      <w:r>
        <w:rPr>
          <w:rFonts w:cs="Times New Roman" w:hint="eastAsia"/>
        </w:rPr>
        <w:t>空气动力系统技术领军者</w:t>
      </w:r>
      <w:r>
        <w:rPr>
          <w:rFonts w:ascii="Times New Roman" w:hAnsi="Times New Roman" w:cs="Times New Roman"/>
        </w:rPr>
        <w:t>”</w:t>
      </w:r>
      <w:r>
        <w:rPr>
          <w:rFonts w:cs="Times New Roman" w:hint="eastAsia"/>
        </w:rPr>
        <w:t>的企业愿景，紧紧抓住国家大力贯彻</w:t>
      </w:r>
      <w:r>
        <w:rPr>
          <w:rFonts w:ascii="Times New Roman" w:hAnsi="Times New Roman" w:cs="Times New Roman"/>
        </w:rPr>
        <w:t>“</w:t>
      </w:r>
      <w:r>
        <w:rPr>
          <w:rFonts w:cs="Times New Roman" w:hint="eastAsia"/>
        </w:rPr>
        <w:t>碳达峰</w:t>
      </w:r>
      <w:r>
        <w:rPr>
          <w:rFonts w:ascii="Times New Roman" w:hAnsi="Times New Roman" w:cs="Times New Roman"/>
        </w:rPr>
        <w:t>”</w:t>
      </w:r>
      <w:r>
        <w:rPr>
          <w:rFonts w:cs="Times New Roman" w:hint="eastAsia"/>
        </w:rPr>
        <w:t>、</w:t>
      </w:r>
      <w:r>
        <w:rPr>
          <w:rFonts w:ascii="Times New Roman" w:hAnsi="Times New Roman" w:cs="Times New Roman"/>
        </w:rPr>
        <w:t>“</w:t>
      </w:r>
      <w:r>
        <w:rPr>
          <w:rFonts w:cs="Times New Roman" w:hint="eastAsia"/>
        </w:rPr>
        <w:t>碳中和</w:t>
      </w:r>
      <w:r>
        <w:rPr>
          <w:rFonts w:ascii="Times New Roman" w:hAnsi="Times New Roman" w:cs="Times New Roman"/>
        </w:rPr>
        <w:t>”</w:t>
      </w:r>
      <w:r>
        <w:rPr>
          <w:rFonts w:cs="Times New Roman" w:hint="eastAsia"/>
        </w:rPr>
        <w:t>、绿色制造的发展战略，充分发挥公司技术优势、产品优势、管理优势、品牌和销售渠道优势，积极调动全体员工的积极性，加快完成产品研发和工艺优化，努力提升行业技术水平，加速推动产品释放，继续为中国压缩机行业做出贡献。</w:t>
      </w:r>
    </w:p>
    <w:p w:rsidR="000C39A3" w:rsidRDefault="000C39A3">
      <w:pPr>
        <w:pStyle w:val="a4"/>
        <w:spacing w:before="0" w:beforeAutospacing="0" w:after="0" w:afterAutospacing="0" w:line="360" w:lineRule="auto"/>
        <w:ind w:firstLine="482"/>
        <w:jc w:val="both"/>
        <w:divId w:val="420416381"/>
        <w:rPr>
          <w:rFonts w:ascii="Times New Roman" w:hAnsi="Times New Roman" w:cs="Times New Roman"/>
          <w:sz w:val="18"/>
          <w:szCs w:val="18"/>
        </w:rPr>
      </w:pPr>
      <w:r>
        <w:rPr>
          <w:rStyle w:val="a5"/>
          <w:rFonts w:cs="Times New Roman" w:hint="eastAsia"/>
        </w:rPr>
        <w:t>（二）下一年度的经营计划</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18"/>
          <w:szCs w:val="18"/>
        </w:rPr>
      </w:pPr>
      <w:r>
        <w:rPr>
          <w:rFonts w:ascii="Times New Roman" w:hAnsi="Times New Roman" w:cs="Times New Roman"/>
        </w:rPr>
        <w:t>2023</w:t>
      </w:r>
      <w:r>
        <w:rPr>
          <w:rFonts w:cs="Times New Roman" w:hint="eastAsia"/>
        </w:rPr>
        <w:t>年，公司将根据公司发展战略，积极做好以下经营计划。</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）坚守技术创新，把握市场新机遇</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Fonts w:cs="Times New Roman" w:hint="eastAsia"/>
        </w:rPr>
        <w:t>围绕国家战略需求，加强前沿技术储备，加快攻克压缩机</w:t>
      </w:r>
      <w:r>
        <w:rPr>
          <w:rFonts w:ascii="Times New Roman" w:hAnsi="Times New Roman" w:cs="Times New Roman"/>
        </w:rPr>
        <w:t>“</w:t>
      </w:r>
      <w:r>
        <w:rPr>
          <w:rFonts w:cs="Times New Roman" w:hint="eastAsia"/>
        </w:rPr>
        <w:t>卡脖子</w:t>
      </w:r>
      <w:r>
        <w:rPr>
          <w:rFonts w:ascii="Times New Roman" w:hAnsi="Times New Roman" w:cs="Times New Roman"/>
        </w:rPr>
        <w:t>”</w:t>
      </w:r>
      <w:r>
        <w:rPr>
          <w:rFonts w:cs="Times New Roman" w:hint="eastAsia"/>
        </w:rPr>
        <w:t>技术，为消费者研发高端、高品质产品，依靠技术创新塑造发展新优势，实现国产替代。同时深耕国内市场，把握好</w:t>
      </w:r>
      <w:r>
        <w:rPr>
          <w:rFonts w:ascii="Times New Roman" w:hAnsi="Times New Roman" w:cs="Times New Roman"/>
        </w:rPr>
        <w:t>“</w:t>
      </w:r>
      <w:r>
        <w:rPr>
          <w:rFonts w:cs="Times New Roman" w:hint="eastAsia"/>
        </w:rPr>
        <w:t>一带一路</w:t>
      </w:r>
      <w:r>
        <w:rPr>
          <w:rFonts w:ascii="Times New Roman" w:hAnsi="Times New Roman" w:cs="Times New Roman"/>
        </w:rPr>
        <w:t>”</w:t>
      </w:r>
      <w:r>
        <w:rPr>
          <w:rFonts w:cs="Times New Roman" w:hint="eastAsia"/>
        </w:rPr>
        <w:t>建设机遇，提升品牌国际竞争力。</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2</w:t>
      </w:r>
      <w:r>
        <w:rPr>
          <w:rStyle w:val="a5"/>
          <w:rFonts w:cs="Times New Roman" w:hint="eastAsia"/>
        </w:rPr>
        <w:t>）优化营销渠道建设，提高品牌影响力</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Fonts w:cs="Times New Roman" w:hint="eastAsia"/>
        </w:rPr>
        <w:lastRenderedPageBreak/>
        <w:t>持续优化计划配置、优化营销模式，抓好市场营销策划、持续深耕市场体系建设；打造大客户开发新团队、增强线上渠道运营能力，提升产品市场占有率；开展经销商定期培训，提高经销商专业度，提高客户对公司产品认可度，进一步巩固</w:t>
      </w:r>
      <w:r>
        <w:rPr>
          <w:rFonts w:ascii="Times New Roman" w:hAnsi="Times New Roman" w:cs="Times New Roman"/>
        </w:rPr>
        <w:t>“</w:t>
      </w:r>
      <w:r>
        <w:rPr>
          <w:rFonts w:cs="Times New Roman" w:hint="eastAsia"/>
        </w:rPr>
        <w:t>捷豹</w:t>
      </w:r>
      <w:r>
        <w:rPr>
          <w:rFonts w:ascii="Times New Roman" w:hAnsi="Times New Roman" w:cs="Times New Roman"/>
        </w:rPr>
        <w:t>”</w:t>
      </w:r>
      <w:r>
        <w:rPr>
          <w:rFonts w:cs="Times New Roman" w:hint="eastAsia"/>
        </w:rPr>
        <w:t>品牌在行业的核心地位。</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3</w:t>
      </w:r>
      <w:r>
        <w:rPr>
          <w:rStyle w:val="a5"/>
          <w:rFonts w:cs="Times New Roman" w:hint="eastAsia"/>
        </w:rPr>
        <w:t>）加快产业转型升级，促进数字技术与产业融合</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Fonts w:ascii="Times New Roman" w:hAnsi="Times New Roman" w:cs="Times New Roman"/>
        </w:rPr>
        <w:t>2023</w:t>
      </w:r>
      <w:r>
        <w:rPr>
          <w:rFonts w:cs="Times New Roman" w:hint="eastAsia"/>
        </w:rPr>
        <w:t>年，公司将推广捷豹智控系统，利用互联网新技术对产业进行全方位、全链条改造，抢抓新一轮科技革命和产业变革先机，推动下游企业实现智能制造转型。</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4</w:t>
      </w:r>
      <w:r>
        <w:rPr>
          <w:rStyle w:val="a5"/>
          <w:rFonts w:cs="Times New Roman" w:hint="eastAsia"/>
        </w:rPr>
        <w:t>）持续强化人才建设，提高组织效能</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Fonts w:cs="Times New Roman" w:hint="eastAsia"/>
        </w:rPr>
        <w:t>有序开展</w:t>
      </w:r>
      <w:r>
        <w:rPr>
          <w:rFonts w:ascii="Times New Roman" w:hAnsi="Times New Roman" w:cs="Times New Roman"/>
        </w:rPr>
        <w:t>“</w:t>
      </w:r>
      <w:r>
        <w:rPr>
          <w:rFonts w:cs="Times New Roman" w:hint="eastAsia"/>
        </w:rPr>
        <w:t>东亚研习中心</w:t>
      </w:r>
      <w:r>
        <w:rPr>
          <w:rFonts w:ascii="Times New Roman" w:hAnsi="Times New Roman" w:cs="Times New Roman"/>
        </w:rPr>
        <w:t>”</w:t>
      </w:r>
      <w:r>
        <w:rPr>
          <w:rFonts w:cs="Times New Roman" w:hint="eastAsia"/>
        </w:rPr>
        <w:t>讲师授课培训，持续优化人才结构、健全各层次人才选拔和培养机制，构建创新的核心管理团队长期激励机制；紧紧围绕</w:t>
      </w:r>
      <w:r>
        <w:rPr>
          <w:rFonts w:ascii="Times New Roman" w:hAnsi="Times New Roman" w:cs="Times New Roman"/>
        </w:rPr>
        <w:t>“</w:t>
      </w:r>
      <w:r>
        <w:rPr>
          <w:rFonts w:cs="Times New Roman" w:hint="eastAsia"/>
        </w:rPr>
        <w:t>降成本、提效率、创利润</w:t>
      </w:r>
      <w:r>
        <w:rPr>
          <w:rFonts w:ascii="Times New Roman" w:hAnsi="Times New Roman" w:cs="Times New Roman"/>
        </w:rPr>
        <w:t>”</w:t>
      </w:r>
      <w:r>
        <w:rPr>
          <w:rFonts w:cs="Times New Roman" w:hint="eastAsia"/>
        </w:rPr>
        <w:t>主基调，扎实推进和深化精益管理，通过精准施策、靶向发力，进一步挖掘降本增效潜能，提升企业管理效能。</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5</w:t>
      </w:r>
      <w:r>
        <w:rPr>
          <w:rStyle w:val="a5"/>
          <w:rFonts w:cs="Times New Roman" w:hint="eastAsia"/>
        </w:rPr>
        <w:t>）加快公司新厂区工程建设</w:t>
      </w:r>
    </w:p>
    <w:p w:rsidR="000C39A3" w:rsidRDefault="000C39A3">
      <w:pPr>
        <w:pStyle w:val="a4"/>
        <w:spacing w:before="0" w:beforeAutospacing="0" w:after="0" w:afterAutospacing="0" w:line="360" w:lineRule="auto"/>
        <w:ind w:firstLine="480"/>
        <w:jc w:val="both"/>
        <w:divId w:val="420416381"/>
        <w:rPr>
          <w:rFonts w:ascii="Times New Roman" w:hAnsi="Times New Roman" w:cs="Times New Roman"/>
          <w:sz w:val="21"/>
          <w:szCs w:val="21"/>
        </w:rPr>
      </w:pPr>
      <w:r>
        <w:rPr>
          <w:rFonts w:cs="Times New Roman" w:hint="eastAsia"/>
        </w:rPr>
        <w:t>新厂区工程建设可以满足公司未来发展对研发、生产用地的需求。公司将加快新厂区的工程建设，尽早投入生产，为公司未来进一步扩大产能和拓展产业链提供保障。</w:t>
      </w:r>
    </w:p>
    <w:p w:rsidR="000C39A3" w:rsidRDefault="000C39A3">
      <w:pPr>
        <w:pStyle w:val="a4"/>
        <w:spacing w:before="0" w:beforeAutospacing="0" w:after="0" w:afterAutospacing="0" w:line="360" w:lineRule="auto"/>
        <w:ind w:firstLine="482"/>
        <w:jc w:val="both"/>
        <w:divId w:val="420416381"/>
        <w:rPr>
          <w:rFonts w:ascii="Times New Roman" w:hAnsi="Times New Roman" w:cs="Times New Roman"/>
          <w:sz w:val="18"/>
          <w:szCs w:val="18"/>
        </w:rPr>
      </w:pPr>
      <w:r>
        <w:rPr>
          <w:rStyle w:val="a5"/>
          <w:rFonts w:cs="Times New Roman" w:hint="eastAsia"/>
        </w:rPr>
        <w:t>（三）公司可能面对的风险</w:t>
      </w:r>
    </w:p>
    <w:p w:rsidR="000C39A3" w:rsidRDefault="000C39A3">
      <w:pPr>
        <w:pStyle w:val="a4"/>
        <w:spacing w:before="0" w:beforeAutospacing="0" w:after="0" w:afterAutospacing="0" w:line="360" w:lineRule="auto"/>
        <w:ind w:firstLine="482"/>
        <w:jc w:val="both"/>
        <w:divId w:val="420416381"/>
      </w:pPr>
      <w:r>
        <w:rPr>
          <w:rStyle w:val="a5"/>
          <w:rFonts w:hint="eastAsia"/>
        </w:rPr>
        <w:t>（1）宏观经济波动风险</w:t>
      </w:r>
    </w:p>
    <w:p w:rsidR="000C39A3" w:rsidRDefault="000C39A3">
      <w:pPr>
        <w:pStyle w:val="a4"/>
        <w:spacing w:before="0" w:beforeAutospacing="0" w:after="0" w:afterAutospacing="0" w:line="360" w:lineRule="auto"/>
        <w:ind w:firstLine="480"/>
        <w:jc w:val="both"/>
        <w:divId w:val="420416381"/>
      </w:pPr>
      <w:r>
        <w:rPr>
          <w:rFonts w:hint="eastAsia"/>
        </w:rPr>
        <w:t> 公司主营业务涵盖空气压缩机、真空泵、离心式压缩机、活塞机等，产品广泛应用于装备制造、汽车、半导体、光伏、锂电、冶金、电力、电子、 医疗、纺织、生物发酵等行业领域。产品的终端市场</w:t>
      </w:r>
      <w:r>
        <w:rPr>
          <w:rFonts w:hint="eastAsia"/>
          <w:spacing w:val="-3"/>
        </w:rPr>
        <w:t>均与宏观经济相关联</w:t>
      </w:r>
      <w:r>
        <w:rPr>
          <w:rFonts w:hint="eastAsia"/>
        </w:rPr>
        <w:t>，</w:t>
      </w:r>
      <w:r>
        <w:rPr>
          <w:rFonts w:hint="eastAsia"/>
          <w:spacing w:val="-3"/>
        </w:rPr>
        <w:t>如果未来国家宏观经济环境、政策发生重大变化，宏观经济出现周期性波动或经济增长速度放缓，而公司未能对由此带来的市场需求波动形成合理预期并相应调整公司的生产经营策略，将会</w:t>
      </w:r>
      <w:r>
        <w:rPr>
          <w:rFonts w:hint="eastAsia"/>
        </w:rPr>
        <w:t>对公司经营业绩的增长产生一定程度的不利影响。 </w:t>
      </w:r>
    </w:p>
    <w:p w:rsidR="000C39A3" w:rsidRDefault="000C39A3">
      <w:pPr>
        <w:pStyle w:val="a4"/>
        <w:spacing w:before="0" w:beforeAutospacing="0" w:after="0" w:afterAutospacing="0" w:line="360" w:lineRule="auto"/>
        <w:ind w:firstLine="480"/>
        <w:jc w:val="both"/>
        <w:divId w:val="420416381"/>
      </w:pPr>
      <w:r>
        <w:rPr>
          <w:rFonts w:hint="eastAsia"/>
        </w:rPr>
        <w:t>对此，公司紧密关注各个行业政策的变化情况，了解最新的行业态势，加强与客户的密切沟通，提升产品的性能，拓展产品的功能，加强成本管控，提升品牌服务，提高公司在各行业内的综合竞争实力，以良好的口碑和一流的产品品质赢得市场，从而应对</w:t>
      </w:r>
      <w:r w:rsidR="004A6D75">
        <w:rPr>
          <w:rFonts w:hint="eastAsia"/>
        </w:rPr>
        <w:t>宏观经济波动风险</w:t>
      </w:r>
      <w:r>
        <w:rPr>
          <w:rFonts w:hint="eastAsia"/>
        </w:rPr>
        <w:t>。</w:t>
      </w:r>
    </w:p>
    <w:p w:rsidR="000C39A3" w:rsidRDefault="000C39A3">
      <w:pPr>
        <w:pStyle w:val="a4"/>
        <w:spacing w:before="0" w:beforeAutospacing="0" w:after="0" w:afterAutospacing="0" w:line="360" w:lineRule="auto"/>
        <w:ind w:firstLine="482"/>
        <w:jc w:val="both"/>
        <w:divId w:val="420416381"/>
      </w:pPr>
      <w:r>
        <w:rPr>
          <w:rStyle w:val="a5"/>
          <w:rFonts w:hint="eastAsia"/>
        </w:rPr>
        <w:t>（2）市场竞争风险</w:t>
      </w:r>
    </w:p>
    <w:p w:rsidR="000C39A3" w:rsidRDefault="000C39A3">
      <w:pPr>
        <w:pStyle w:val="a4"/>
        <w:spacing w:before="0" w:beforeAutospacing="0" w:after="0" w:afterAutospacing="0" w:line="360" w:lineRule="auto"/>
        <w:ind w:firstLine="480"/>
        <w:jc w:val="both"/>
        <w:divId w:val="420416381"/>
      </w:pPr>
      <w:r>
        <w:rPr>
          <w:rFonts w:hint="eastAsia"/>
        </w:rPr>
        <w:lastRenderedPageBreak/>
        <w:t>经过多年的持续稳定健康发展，公司的产品品质、技术能力、管理水平等在国内同行中处于领先水平，但面对日益激烈的市场竞争，如果公司不能持续提升整体竞争力，则可能在激烈的市场竞争中处于不利地位，给公司进一步扩大市场份额，提高市场地位带来不利影响。</w:t>
      </w:r>
    </w:p>
    <w:p w:rsidR="000C39A3" w:rsidRDefault="000C39A3">
      <w:pPr>
        <w:pStyle w:val="a4"/>
        <w:spacing w:before="0" w:beforeAutospacing="0" w:after="0" w:afterAutospacing="0" w:line="360" w:lineRule="auto"/>
        <w:ind w:firstLine="480"/>
        <w:jc w:val="both"/>
        <w:divId w:val="420416381"/>
      </w:pPr>
      <w:r>
        <w:rPr>
          <w:rFonts w:hint="eastAsia"/>
        </w:rPr>
        <w:t>对此，公司持续不断打造与提升产品力、渠道力、品牌力、服务力等核心竞争力，保持并巩固原有行业优势的同时，通过不断拓展市场新领域、挖掘新的客户和新的利润增长点，以消除市场竞争带来的不利影响。</w:t>
      </w:r>
    </w:p>
    <w:p w:rsidR="000C39A3" w:rsidRDefault="000C39A3">
      <w:pPr>
        <w:pStyle w:val="a4"/>
        <w:spacing w:before="0" w:beforeAutospacing="0" w:after="0" w:afterAutospacing="0" w:line="360" w:lineRule="auto"/>
        <w:ind w:firstLine="482"/>
        <w:jc w:val="both"/>
        <w:divId w:val="420416381"/>
      </w:pPr>
      <w:r>
        <w:rPr>
          <w:rStyle w:val="a5"/>
          <w:rFonts w:hint="eastAsia"/>
        </w:rPr>
        <w:t>（3）主要原材料价格波动风险</w:t>
      </w:r>
    </w:p>
    <w:p w:rsidR="000C39A3" w:rsidRDefault="000C39A3">
      <w:pPr>
        <w:pStyle w:val="a4"/>
        <w:spacing w:before="0" w:beforeAutospacing="0" w:after="0" w:afterAutospacing="0" w:line="360" w:lineRule="auto"/>
        <w:ind w:firstLine="480"/>
        <w:jc w:val="both"/>
        <w:divId w:val="420416381"/>
      </w:pPr>
      <w:r>
        <w:rPr>
          <w:rFonts w:hint="eastAsia"/>
        </w:rPr>
        <w:t>公司产品主要原材料为钢材、铸件等原材料，原材料采购价格波动受国际金融形势、国际汇率、铁矿石价格、燃料运价等多方面因素影响，由此带来的生产制造成本的波动将会给公司的生产经营产生一定程度的不确定性。</w:t>
      </w:r>
    </w:p>
    <w:p w:rsidR="000C39A3" w:rsidRDefault="000C39A3">
      <w:pPr>
        <w:pStyle w:val="a4"/>
        <w:spacing w:before="0" w:beforeAutospacing="0" w:after="0" w:afterAutospacing="0" w:line="360" w:lineRule="auto"/>
        <w:ind w:firstLine="480"/>
        <w:jc w:val="both"/>
        <w:divId w:val="420416381"/>
      </w:pPr>
      <w:r>
        <w:rPr>
          <w:rFonts w:hint="eastAsia"/>
        </w:rPr>
        <w:t>针对上述风险，公司将通过优化现有工艺流程，提高材料利用率，控制生产成本，加速产品迭代升级，同时与供应商建立长期战略合作关系，按需采购，以达到最大限度降低主要原材料波动带来的风险，维持产品毛利率稳定。</w:t>
      </w:r>
    </w:p>
    <w:p w:rsidR="000C39A3" w:rsidRDefault="000C39A3">
      <w:pPr>
        <w:pStyle w:val="a4"/>
        <w:spacing w:before="0" w:beforeAutospacing="0" w:after="0" w:afterAutospacing="0" w:line="360" w:lineRule="auto"/>
        <w:ind w:firstLine="482"/>
        <w:jc w:val="both"/>
        <w:divId w:val="420416381"/>
      </w:pPr>
      <w:r>
        <w:rPr>
          <w:rStyle w:val="a5"/>
          <w:rFonts w:hint="eastAsia"/>
        </w:rPr>
        <w:t>（4） 创新风险 </w:t>
      </w:r>
    </w:p>
    <w:p w:rsidR="000C39A3" w:rsidRDefault="000C39A3">
      <w:pPr>
        <w:pStyle w:val="a4"/>
        <w:spacing w:before="0" w:beforeAutospacing="0" w:after="0" w:afterAutospacing="0" w:line="360" w:lineRule="auto"/>
        <w:ind w:firstLine="480"/>
        <w:jc w:val="both"/>
        <w:divId w:val="420416381"/>
      </w:pPr>
      <w:r>
        <w:rPr>
          <w:rFonts w:hint="eastAsia"/>
          <w:spacing w:val="4"/>
        </w:rPr>
        <w:t>公司在空气压缩机研发创新、生产制造领域处于国内先进地位，</w:t>
      </w:r>
      <w:r>
        <w:rPr>
          <w:rFonts w:hint="eastAsia"/>
          <w:spacing w:val="3"/>
        </w:rPr>
        <w:t>技术、工艺和产品的开发和改进受到市场广泛认可。</w:t>
      </w:r>
      <w:r>
        <w:rPr>
          <w:rFonts w:hint="eastAsia"/>
          <w:spacing w:val="12"/>
        </w:rPr>
        <w:t>若未来公司空气压缩机的</w:t>
      </w:r>
      <w:r>
        <w:rPr>
          <w:rFonts w:hint="eastAsia"/>
          <w:spacing w:val="-6"/>
        </w:rPr>
        <w:t>新产品开发能力、生产工艺创新能力、</w:t>
      </w:r>
      <w:r>
        <w:rPr>
          <w:rFonts w:ascii="Times New Roman" w:hAnsi="Times New Roman" w:cs="Times New Roman"/>
          <w:spacing w:val="12"/>
        </w:rPr>
        <w:t xml:space="preserve"> </w:t>
      </w:r>
      <w:r>
        <w:rPr>
          <w:rFonts w:hint="eastAsia"/>
          <w:spacing w:val="-3"/>
        </w:rPr>
        <w:t>产品质量控制能力等不能适应市场发展方向，将对公司未来业务持续发展造成不利影响。 </w:t>
      </w:r>
      <w:r>
        <w:rPr>
          <w:rFonts w:hint="eastAsia"/>
          <w:spacing w:val="12"/>
        </w:rPr>
        <w:t xml:space="preserve"> </w:t>
      </w:r>
      <w:r>
        <w:rPr>
          <w:rFonts w:hint="eastAsia"/>
          <w:spacing w:val="3"/>
        </w:rPr>
        <w:t> </w:t>
      </w:r>
    </w:p>
    <w:p w:rsidR="000C39A3" w:rsidRPr="004A6D75" w:rsidRDefault="000C39A3">
      <w:pPr>
        <w:pStyle w:val="a4"/>
        <w:spacing w:before="0" w:beforeAutospacing="0" w:after="0" w:afterAutospacing="0" w:line="360" w:lineRule="auto"/>
        <w:ind w:firstLine="482"/>
        <w:jc w:val="both"/>
        <w:divId w:val="420416381"/>
        <w:rPr>
          <w:rFonts w:ascii="Times New Roman" w:hAnsi="Times New Roman" w:cs="Times New Roman"/>
        </w:rPr>
      </w:pPr>
      <w:r w:rsidRPr="004A6D75">
        <w:rPr>
          <w:rFonts w:cs="Times New Roman" w:hint="eastAsia"/>
        </w:rPr>
        <w:t>对此，公司将</w:t>
      </w:r>
      <w:r w:rsidRPr="004A6D75">
        <w:rPr>
          <w:rFonts w:cs="Times New Roman" w:hint="eastAsia"/>
          <w:spacing w:val="3"/>
        </w:rPr>
        <w:t>主动跟踪市场动向，开发适合市场需求的产品，引入提高产品性能的新技术，</w:t>
      </w:r>
      <w:r w:rsidRPr="004A6D75">
        <w:rPr>
          <w:rFonts w:cs="Times New Roman" w:hint="eastAsia"/>
          <w:spacing w:val="-6"/>
        </w:rPr>
        <w:t>对行业变化做出前瞻性判断，快速响应和精准把握市场趋势，提高</w:t>
      </w:r>
      <w:r w:rsidRPr="004A6D75">
        <w:rPr>
          <w:rFonts w:cs="Times New Roman" w:hint="eastAsia"/>
          <w:spacing w:val="3"/>
        </w:rPr>
        <w:t>市场竞争力</w:t>
      </w:r>
      <w:r w:rsidRPr="004A6D75">
        <w:rPr>
          <w:rFonts w:cs="Times New Roman" w:hint="eastAsia"/>
          <w:spacing w:val="12"/>
        </w:rPr>
        <w:t>。</w:t>
      </w:r>
    </w:p>
    <w:p w:rsidR="0080594E" w:rsidRDefault="000C39A3">
      <w:pPr>
        <w:pStyle w:val="2"/>
        <w:spacing w:before="300" w:after="300" w:line="320" w:lineRule="exact"/>
        <w:rPr>
          <w:rFonts w:ascii="宋体" w:eastAsia="宋体" w:hAnsi="宋体" w:cs="宋体"/>
          <w:b/>
          <w:bCs/>
          <w:sz w:val="24"/>
          <w:szCs w:val="24"/>
        </w:rPr>
      </w:pPr>
      <w:bookmarkStart w:id="53" w:name="_Toc988941"/>
      <w:r>
        <w:rPr>
          <w:rFonts w:ascii="宋体" w:eastAsia="宋体" w:hAnsi="宋体" w:cs="宋体"/>
          <w:b/>
          <w:bCs/>
          <w:sz w:val="24"/>
          <w:szCs w:val="24"/>
        </w:rPr>
        <w:t>十二、报告期内接待调研、沟通、采访等活动登记表</w:t>
      </w:r>
      <w:bookmarkEnd w:id="53"/>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接待时间</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接待地点</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接待方式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接待对象类型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接待对象</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谈论的主要内容及提供的资料</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调研的基本情况索引</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2022年02月16</w:t>
            </w:r>
            <w:r w:rsidR="00F81599">
              <w:rPr>
                <w:rFonts w:ascii="宋体" w:eastAsia="宋体" w:hAnsi="宋体" w:cs="宋体" w:hint="eastAsia"/>
                <w:sz w:val="18"/>
                <w:szCs w:val="18"/>
              </w:rPr>
              <w:t>-</w:t>
            </w:r>
            <w:r w:rsidR="00F81599">
              <w:rPr>
                <w:rFonts w:ascii="宋体" w:eastAsia="宋体" w:hAnsi="宋体" w:cs="宋体"/>
                <w:sz w:val="18"/>
                <w:szCs w:val="18"/>
              </w:rPr>
              <w:t>17日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机构</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富国基金崔宇、创金合信基金寸思敏、宝盈基金王灏、宝盈基金李巍宇、中泰证券张豪杰、安信基金曾博</w:t>
            </w:r>
            <w:r>
              <w:rPr>
                <w:rFonts w:ascii="宋体" w:eastAsia="宋体" w:hAnsi="宋体" w:cs="宋体"/>
                <w:sz w:val="18"/>
                <w:szCs w:val="18"/>
              </w:rPr>
              <w:lastRenderedPageBreak/>
              <w:t>文、人保资产田垒、广发资管真怡、源乘投资曾尚、理臻投资朱裕君、中泰国际方辰左、创富兆业基金曾雨、全天候私募胡宸嘉、青银理财惠佳琪、天虫资本高景山、铭远资产韩跃峰</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谈论的主要内容：1.公司的经销体系区别同行的独特性在哪方面？2.公司研发投入的方向及真空泵产品的进度</w:t>
            </w:r>
            <w:r>
              <w:rPr>
                <w:rFonts w:ascii="宋体" w:eastAsia="宋体" w:hAnsi="宋体" w:cs="宋体"/>
                <w:sz w:val="18"/>
                <w:szCs w:val="18"/>
              </w:rPr>
              <w:lastRenderedPageBreak/>
              <w:t>如何？3.公司的盈利在近几年是如何做到持续稳健增长的？等，提供的资料：无。详情请查阅调研的基本情况索引。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详见深交所互动易：http://irm.cninfo.com.cn/ircs/index《301028东亚机械调研活动信息</w:t>
            </w:r>
            <w:r>
              <w:rPr>
                <w:rFonts w:ascii="宋体" w:eastAsia="宋体" w:hAnsi="宋体" w:cs="宋体"/>
                <w:sz w:val="18"/>
                <w:szCs w:val="18"/>
              </w:rPr>
              <w:lastRenderedPageBreak/>
              <w:t>20220218》</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2022年04月28日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线上参与公司2021年度网上业绩说明会的投资者</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谈论的主要内容：</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请问报告期内，募集资金使用情况进展如何？2.请问公司主要业务空气压缩机应用的行业类别具体有哪些？行业制造量与市场需求量是否平衡？3、请问目前公司处于上中下产业链哪一环？竞争核心优势在哪？等，提供的资料：无。详情请查阅调研的基本情况索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详见深交所互动易：http://irm.cninfo.com.cn/ircs/index《301028东亚机械调研活动信息20220429》</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2022年05月10日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参与2021年年报网上业绩说明会暨投资者网上集体接待日的投资者</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谈论的主要内容：</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公司的空气压缩机主要应用于哪些行业，跟同业公司相比有何竞争力？2.近期原材料价格大幅波动，对公司影响有多大，是否做出了应对方案？3、目前贵公司的在销售产品能否满足客户的需求？等，提供的资料：无。详情请查阅调研的基本情况索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详见深交所互动易：http://irm.cninfo.com.cn/ircs/index《301028东亚机械业绩说明会、路演活动信息20220510》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2022年11月01日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实地调研</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机构</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生命保险资产管理有限公司何佳天、长江证券股份有限公司蔡念恒</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谈论的主要内容：</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公司研发投入规划？未来是实现高端市场的国产替代，还是在中低端市场扩大市占率？2.公司毛利率和净利率的变化原因？3、公司购置的新地块投资额7个多亿，后续有无再融资计划？等，提供的资料：无。详情请查阅调研的基本情况索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详见深交所互动易：http://irm.cninfo.com.cn/ircs/index《301028东亚机械调研活动信息20221102》</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2022年11月29</w:t>
            </w:r>
            <w:r w:rsidR="00F81599">
              <w:rPr>
                <w:rFonts w:ascii="宋体" w:eastAsia="宋体" w:hAnsi="宋体" w:cs="宋体"/>
                <w:sz w:val="18"/>
                <w:szCs w:val="18"/>
              </w:rPr>
              <w:t>-30</w:t>
            </w:r>
            <w:r>
              <w:rPr>
                <w:rFonts w:ascii="宋体" w:eastAsia="宋体" w:hAnsi="宋体" w:cs="宋体"/>
                <w:sz w:val="18"/>
                <w:szCs w:val="18"/>
              </w:rPr>
              <w:t>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实地调研</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机构</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太平洋证券 温晓</w:t>
            </w:r>
            <w:r w:rsidR="00F81599">
              <w:rPr>
                <w:rFonts w:ascii="宋体" w:eastAsia="宋体" w:hAnsi="宋体" w:cs="宋体"/>
                <w:sz w:val="18"/>
                <w:szCs w:val="18"/>
              </w:rPr>
              <w:t>、尚峰资本 顾家颢</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谈论的主要内容：</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1.公司毛利率第三季度有所承压，如何保持毛利稳定？2.公司研发投入规划？未来产品布局情况？3、公司购置的新地块投资额 7 个多亿，主要投资目的，后续有无再融资计划？等，提供的资料：无。详情请查阅调研的基本情况索引。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详见深交所互动易：http://irm.cninfo.com.cn/ircs/index《301028东亚机械调研活动信息20221201》</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2022年12月14日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机构</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中信证券 李睿鹏、中信证券 姜舜尧</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谈论的主要内容：</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1.公司净利率保持比较稳定，未来有没有可持续性？2.公司募投项目的情况？未来产品布局和可增长空间？3、公司购置的新地块后续主要用来投资什么项目，有无再融资计划？等，提供的资料：无。</w:t>
            </w:r>
            <w:r>
              <w:rPr>
                <w:rFonts w:ascii="宋体" w:eastAsia="宋体" w:hAnsi="宋体" w:cs="宋体"/>
                <w:sz w:val="18"/>
                <w:szCs w:val="18"/>
              </w:rPr>
              <w:lastRenderedPageBreak/>
              <w:t>详情请查阅调研的基本情况索引。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详见深交所互动易：http://irm.cninfo.com.cn/ircs/index《301028东亚机械调研活动信息20221215》</w:t>
            </w:r>
          </w:p>
        </w:tc>
      </w:tr>
    </w:tbl>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54" w:name="_Toc988942"/>
      <w:r>
        <w:rPr>
          <w:rFonts w:ascii="宋体" w:eastAsia="宋体" w:hAnsi="宋体" w:cs="宋体"/>
          <w:b/>
          <w:bCs/>
          <w:sz w:val="32"/>
          <w:szCs w:val="32"/>
        </w:rPr>
        <w:lastRenderedPageBreak/>
        <w:t>第四节 公司治理</w:t>
      </w:r>
      <w:bookmarkEnd w:id="54"/>
    </w:p>
    <w:p w:rsidR="0080594E" w:rsidRDefault="000C39A3">
      <w:pPr>
        <w:pStyle w:val="2"/>
        <w:spacing w:before="300" w:after="300" w:line="320" w:lineRule="exact"/>
        <w:rPr>
          <w:rFonts w:ascii="宋体" w:eastAsia="宋体" w:hAnsi="宋体" w:cs="宋体"/>
          <w:b/>
          <w:bCs/>
          <w:sz w:val="24"/>
          <w:szCs w:val="24"/>
        </w:rPr>
      </w:pPr>
      <w:bookmarkStart w:id="55" w:name="_Toc988943"/>
      <w:r>
        <w:rPr>
          <w:rFonts w:ascii="宋体" w:eastAsia="宋体" w:hAnsi="宋体" w:cs="宋体"/>
          <w:b/>
          <w:bCs/>
          <w:sz w:val="24"/>
          <w:szCs w:val="24"/>
        </w:rPr>
        <w:t>一、公司治理的基本状况</w:t>
      </w:r>
      <w:bookmarkEnd w:id="55"/>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公司严格按照《公司法》《证券法》《深圳证券交易所创业板股票上市规则》《深圳证券交易所上市公司自律监管指引第</w:t>
      </w:r>
      <w:r>
        <w:rPr>
          <w:rFonts w:ascii="Times New Roman" w:hAnsi="Times New Roman" w:cs="Times New Roman"/>
        </w:rPr>
        <w:t>2</w:t>
      </w:r>
      <w:r>
        <w:rPr>
          <w:rFonts w:cs="Times New Roman" w:hint="eastAsia"/>
        </w:rPr>
        <w:t>号</w:t>
      </w:r>
      <w:r>
        <w:rPr>
          <w:rFonts w:ascii="Times New Roman" w:hAnsi="Times New Roman" w:cs="Times New Roman"/>
        </w:rPr>
        <w:t>——</w:t>
      </w:r>
      <w:r>
        <w:rPr>
          <w:rFonts w:cs="Times New Roman" w:hint="eastAsia"/>
        </w:rPr>
        <w:t>创业板上市公司规范运作》等相关法律、法规和规范性文件的要求，不断完善公司的法人治理结构，建立健全公司内部管理和控制制度，持续深入开展公司治理活动，促进公司规范运作，提高公司治理水平。报告期内，公司股东大会、董事会、监事会依法运作，</w:t>
      </w:r>
      <w:r>
        <w:rPr>
          <w:rFonts w:ascii="Times New Roman" w:hAnsi="Times New Roman" w:cs="Times New Roman"/>
        </w:rPr>
        <w:t xml:space="preserve"> </w:t>
      </w:r>
      <w:r>
        <w:rPr>
          <w:rFonts w:cs="Times New Roman" w:hint="eastAsia"/>
        </w:rPr>
        <w:t>公司治理的实际情况符合中国证监会发布的有关上市公司治理的规范性文件的要求。</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（一）关于股东和股东大会</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公司严格按照《公司法》《上市公司股东大会规则》等相关法律法规及公司《股东大会议事规则》《公司章程》等相关法律、法规和规范性文件的要求召集、召开股东大会，并聘请专业律师对股东大会现场会议进行了见证并出具了法律意见书。在股东大会上能够保证各位股东有充分的发言权，确保全体股东特别是中小股东享有平等地位，充分行使自己的权利。</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（二）关于公司与控股股东</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ascii="Times New Roman" w:hAnsi="Times New Roman" w:cs="Times New Roman"/>
        </w:rPr>
        <w:t> </w:t>
      </w:r>
      <w:r>
        <w:rPr>
          <w:rFonts w:cs="Times New Roman" w:hint="eastAsia"/>
        </w:rPr>
        <w:t>公司控股股东严格按照《上市公司治理准则》《深圳证券交易所创业板股票上市规则》《深圳证券交易所上市公司自律监管指引第</w:t>
      </w:r>
      <w:r>
        <w:rPr>
          <w:rFonts w:ascii="Times New Roman" w:hAnsi="Times New Roman" w:cs="Times New Roman"/>
        </w:rPr>
        <w:t>2</w:t>
      </w:r>
      <w:r>
        <w:rPr>
          <w:rFonts w:cs="Times New Roman" w:hint="eastAsia"/>
        </w:rPr>
        <w:t>号</w:t>
      </w:r>
      <w:r>
        <w:rPr>
          <w:rFonts w:ascii="Times New Roman" w:hAnsi="Times New Roman" w:cs="Times New Roman"/>
        </w:rPr>
        <w:t>——</w:t>
      </w:r>
      <w:r>
        <w:rPr>
          <w:rFonts w:cs="Times New Roman" w:hint="eastAsia"/>
        </w:rPr>
        <w:t>创业板上市公司规范运作》《公司章程》等的规定和要求，不存在超越公司股东大会直接或间接干预公司的决策和经营活动的行为，未损害公司及其他股东的利益，不存在控股股东非经营性占用公司资金的现象，公司不存在为控股股东提供担保的情况。</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ascii="Times New Roman" w:hAnsi="Times New Roman" w:cs="Times New Roman"/>
        </w:rPr>
        <w:t> </w:t>
      </w:r>
      <w:r>
        <w:rPr>
          <w:rFonts w:cs="Times New Roman" w:hint="eastAsia"/>
        </w:rPr>
        <w:t>（三）关于董事和董事会</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公司董事会设董事</w:t>
      </w:r>
      <w:r>
        <w:rPr>
          <w:rFonts w:ascii="Times New Roman" w:hAnsi="Times New Roman" w:cs="Times New Roman"/>
        </w:rPr>
        <w:t>7</w:t>
      </w:r>
      <w:r>
        <w:rPr>
          <w:rFonts w:cs="Times New Roman" w:hint="eastAsia"/>
        </w:rPr>
        <w:t>名，其中独立董事</w:t>
      </w:r>
      <w:r>
        <w:rPr>
          <w:rFonts w:ascii="Times New Roman" w:hAnsi="Times New Roman" w:cs="Times New Roman"/>
        </w:rPr>
        <w:t>3</w:t>
      </w:r>
      <w:r>
        <w:rPr>
          <w:rFonts w:cs="Times New Roman" w:hint="eastAsia"/>
        </w:rPr>
        <w:t>名，董事会的人数及人员构成符合法律、法规和《公司章程》的规定。各位董事能够依照《董事会议事规则》《独立董事工作制度》《深圳证券交易所上市公司自律监管指引第</w:t>
      </w:r>
      <w:r>
        <w:rPr>
          <w:rFonts w:ascii="Times New Roman" w:hAnsi="Times New Roman" w:cs="Times New Roman"/>
        </w:rPr>
        <w:t>2</w:t>
      </w:r>
      <w:r>
        <w:rPr>
          <w:rFonts w:cs="Times New Roman" w:hint="eastAsia"/>
        </w:rPr>
        <w:t>号</w:t>
      </w:r>
      <w:r>
        <w:rPr>
          <w:rFonts w:ascii="Times New Roman" w:hAnsi="Times New Roman" w:cs="Times New Roman"/>
        </w:rPr>
        <w:t>——</w:t>
      </w:r>
      <w:r>
        <w:rPr>
          <w:rFonts w:cs="Times New Roman" w:hint="eastAsia"/>
        </w:rPr>
        <w:t>创业板上市公司规范运作》等相关规定开展工作，出席董事会、董事会专门委员会和股东大会，勤勉尽责地履行职责和义务，同时各位董事均积极参加相关培训并提高自己的专业能力，熟悉相关法律法规，切实提高履行董事职责的能力。</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（四）关于监事与监事会</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lastRenderedPageBreak/>
        <w:t>公司监事会设监事</w:t>
      </w:r>
      <w:r>
        <w:rPr>
          <w:rFonts w:ascii="Times New Roman" w:hAnsi="Times New Roman" w:cs="Times New Roman"/>
        </w:rPr>
        <w:t>3</w:t>
      </w:r>
      <w:r>
        <w:rPr>
          <w:rFonts w:cs="Times New Roman" w:hint="eastAsia"/>
        </w:rPr>
        <w:t>名，其中职工代表监事</w:t>
      </w:r>
      <w:r>
        <w:rPr>
          <w:rFonts w:ascii="Times New Roman" w:hAnsi="Times New Roman" w:cs="Times New Roman"/>
        </w:rPr>
        <w:t>1</w:t>
      </w:r>
      <w:r>
        <w:rPr>
          <w:rFonts w:cs="Times New Roman" w:hint="eastAsia"/>
        </w:rPr>
        <w:t>名，监事会的人数及人员构成符合法律、法规和《公司章程》的规定。各位监事能够依照《公司章程》《监事会议事规则》等相关规定的要求，认真履行自己的职责，对公司重大事项、财务状况以及董事、高级管理人员履行职责的合法合规性进行监督。同时，公司监事积极参加相关培训，通过进一步的学习，</w:t>
      </w:r>
      <w:r>
        <w:rPr>
          <w:rFonts w:ascii="Times New Roman" w:hAnsi="Times New Roman" w:cs="Times New Roman"/>
        </w:rPr>
        <w:t xml:space="preserve"> </w:t>
      </w:r>
      <w:r>
        <w:rPr>
          <w:rFonts w:cs="Times New Roman" w:hint="eastAsia"/>
        </w:rPr>
        <w:t>熟悉有关法律法规，切实提高履行监事职责的能力。</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（五）关于信息披露与透明度</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公司严格按照有关法律法规以及《公司章程》《上市公司信息披露管理办法》等的要求，真实、准确、及时、公平、完整地披露有关信息，并指定《证券时报》《证券日报》《中国证券报》《上海证券报》和巨潮资讯网（</w:t>
      </w:r>
      <w:r>
        <w:rPr>
          <w:rFonts w:ascii="Times New Roman" w:hAnsi="Times New Roman" w:cs="Times New Roman"/>
        </w:rPr>
        <w:t>www.cninfo.com.cn</w:t>
      </w:r>
      <w:r>
        <w:rPr>
          <w:rFonts w:cs="Times New Roman" w:hint="eastAsia"/>
        </w:rPr>
        <w:t>）为公司信息披露的指定报纸和网站，确保公司所有股东能够以平等的机会获得信息。公司根据《投资者关系管理制度》接待投资者的来访和咨询，通过电话、互动易平台、邮箱、传真以及实地接待投资者等多种渠道保持与投资者的沟通，提高公司信息的透明度，保障全体股东特别是中小股东的合法权益。</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（六）关于相关利益者</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公司充分尊重和维护相关利益者的合法权益，积极与相关利益者合作，加强与各方的沟通和交流，实现社会、股东、公司、员工等各方面利益的协调平衡，共同推动公司持续、稳健发展。</w:t>
      </w:r>
    </w:p>
    <w:p w:rsidR="000C39A3" w:rsidRDefault="000C39A3">
      <w:pPr>
        <w:pStyle w:val="a4"/>
        <w:spacing w:before="0" w:beforeAutospacing="0" w:after="0" w:afterAutospacing="0" w:line="360" w:lineRule="auto"/>
        <w:ind w:firstLine="240"/>
        <w:jc w:val="both"/>
        <w:divId w:val="1315068954"/>
        <w:rPr>
          <w:rFonts w:ascii="Times New Roman" w:hAnsi="Times New Roman" w:cs="Times New Roman"/>
          <w:sz w:val="18"/>
          <w:szCs w:val="18"/>
        </w:rPr>
      </w:pPr>
      <w:r>
        <w:rPr>
          <w:rFonts w:ascii="Times New Roman" w:hAnsi="Times New Roman" w:cs="Times New Roman"/>
        </w:rPr>
        <w:t> </w:t>
      </w:r>
      <w:r>
        <w:rPr>
          <w:rFonts w:cs="Times New Roman" w:hint="eastAsia"/>
        </w:rPr>
        <w:t>（七）关于投资者关系管理</w:t>
      </w:r>
    </w:p>
    <w:p w:rsidR="000C39A3" w:rsidRDefault="000C39A3">
      <w:pPr>
        <w:pStyle w:val="a4"/>
        <w:spacing w:before="0" w:beforeAutospacing="0" w:after="0" w:afterAutospacing="0" w:line="360" w:lineRule="auto"/>
        <w:ind w:firstLine="480"/>
        <w:jc w:val="both"/>
        <w:divId w:val="1315068954"/>
        <w:rPr>
          <w:rFonts w:ascii="Times New Roman" w:hAnsi="Times New Roman" w:cs="Times New Roman"/>
          <w:sz w:val="18"/>
          <w:szCs w:val="18"/>
        </w:rPr>
      </w:pPr>
      <w:r>
        <w:rPr>
          <w:rFonts w:cs="Times New Roman" w:hint="eastAsia"/>
        </w:rPr>
        <w:t>公司能够充分尊重和维护相关利益者的合法权益，实现投资者、员工、社会等各方利益的协调平衡，共同推动公司持续、健康的发展。在接待特定对象调研前，公司要求来访的特定对象签署承诺书，安排专人做好投资者来访接待工作。同时，公司通过公告、电话、咨询、投资者互动平台、股东大会质询、电子邮件等多种方式与投资者沟通交流，增进投资者对公司经营情况、发展前景的了解，维护公司与投资者之间的良好关系。</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公司治理的实际状况与法律、行政法规和中国证监会发布的关于上市公司治理的规定是否存在重大差异</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公司治理的实际状况与法律、行政法规和中国证监会发布的关于上市公司治理的规定不存在重大差异。</w:t>
      </w:r>
    </w:p>
    <w:p w:rsidR="0080594E" w:rsidRDefault="000C39A3">
      <w:pPr>
        <w:pStyle w:val="2"/>
        <w:spacing w:before="300" w:after="300" w:line="320" w:lineRule="exact"/>
        <w:rPr>
          <w:rFonts w:ascii="宋体" w:eastAsia="宋体" w:hAnsi="宋体" w:cs="宋体"/>
          <w:b/>
          <w:bCs/>
          <w:sz w:val="24"/>
          <w:szCs w:val="24"/>
        </w:rPr>
      </w:pPr>
      <w:bookmarkStart w:id="56" w:name="_Toc988944"/>
      <w:r>
        <w:rPr>
          <w:rFonts w:ascii="宋体" w:eastAsia="宋体" w:hAnsi="宋体" w:cs="宋体"/>
          <w:b/>
          <w:bCs/>
          <w:sz w:val="24"/>
          <w:szCs w:val="24"/>
        </w:rPr>
        <w:t>二、公司相对于控股股东、实际控制人在保证公司资产、人员、财务、机构、业务等方面的独立情况</w:t>
      </w:r>
      <w:bookmarkEnd w:id="56"/>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cs="Times New Roman" w:hint="eastAsia"/>
        </w:rPr>
        <w:t>报告期内，公司严格按照《上市公司治理准则》等相关法律法规、规范性文件的规定，保证公司在资产、人员、财务、机构、业务等方面的独立性，具有独立完整的业务及自主</w:t>
      </w:r>
      <w:r>
        <w:rPr>
          <w:rFonts w:cs="Times New Roman" w:hint="eastAsia"/>
        </w:rPr>
        <w:lastRenderedPageBreak/>
        <w:t>持续经营能力。同时公司所有的生产经营或重大事项均根据《公司章程》</w:t>
      </w:r>
      <w:r>
        <w:rPr>
          <w:rFonts w:ascii="Times New Roman" w:hAnsi="Times New Roman" w:cs="Times New Roman"/>
        </w:rPr>
        <w:t xml:space="preserve"> </w:t>
      </w:r>
      <w:r>
        <w:rPr>
          <w:rFonts w:cs="Times New Roman" w:hint="eastAsia"/>
        </w:rPr>
        <w:t>及相关制度的规定，按授权权限提交管理层、董事会和股东大会讨论确定。</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cs="Times New Roman" w:hint="eastAsia"/>
        </w:rPr>
        <w:t>（一）资产完整方面</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ascii="Times New Roman" w:hAnsi="Times New Roman" w:cs="Times New Roman"/>
        </w:rPr>
        <w:t> </w:t>
      </w:r>
      <w:r>
        <w:rPr>
          <w:rFonts w:cs="Times New Roman" w:hint="eastAsia"/>
        </w:rPr>
        <w:t>公司具备与生产经营有关的主要生产系统、辅助生产系统和配套设施，合法拥有与生产经营有关的主要土地、厂房、机器设备以及商标、专利、非专利技术的所有权或者使用权，具有独立的原料采购和产品销售系统。报告期内，公司全部资产均由公司独立拥有或使用，公司股东及其关联方不存在占用公司的资金和其他资源的情形。</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cs="Times New Roman" w:hint="eastAsia"/>
        </w:rPr>
        <w:t>（二）人员独立方面</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ascii="Times New Roman" w:hAnsi="Times New Roman" w:cs="Times New Roman"/>
        </w:rPr>
        <w:t> </w:t>
      </w:r>
      <w:r>
        <w:rPr>
          <w:rFonts w:cs="Times New Roman" w:hint="eastAsia"/>
        </w:rPr>
        <w:t>公司的董事、监事及高级管理人员均按照《公司法》《公司章程》等规定的条件和程序产生，不存在控股股东及主要股东等违反规定干预公司股东大会和董事会作出的人事任免决定的情况。公司的总经理、副总经理、财务总监和董事会秘书等高级管理人员不在控股股东、实际控制人及其控制的其他企业中担任除董事、监事以外的其他职务，不在控股股东、实际控制人及其控制的其他企业领薪。公司的财务人员未在控股股东、实际控制人及其控制的其他企业中兼职。</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ascii="Times New Roman" w:hAnsi="Times New Roman" w:cs="Times New Roman"/>
        </w:rPr>
        <w:t> </w:t>
      </w:r>
      <w:r>
        <w:rPr>
          <w:rFonts w:cs="Times New Roman" w:hint="eastAsia"/>
        </w:rPr>
        <w:t>（三）财务独立方面</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ascii="Times New Roman" w:hAnsi="Times New Roman" w:cs="Times New Roman"/>
        </w:rPr>
        <w:t xml:space="preserve">  </w:t>
      </w:r>
      <w:r>
        <w:rPr>
          <w:rFonts w:cs="Times New Roman" w:hint="eastAsia"/>
        </w:rPr>
        <w:t>公司设立独立的财务部门，负责公司的财务核算业务，严格执行《企业会计准则》和《企业会计制度》。建立了独立规范的财务会计制度、完整的会计核算体系和内部控制制度体系，能够独立作出财务决策。财务部门内部分工明确，批准、执行和记录职责分开，具有独立的银行账号，独立纳税。公司未与控股股东、实际控制人及其控制的其他企业共用银行账户。</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cs="Times New Roman" w:hint="eastAsia"/>
        </w:rPr>
        <w:t>（四）机构独立方面</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cs="Times New Roman" w:hint="eastAsia"/>
        </w:rPr>
        <w:t>公司依照《公司法》和《公司章程》设有股东大会、董事会、监事会等权力决策及监督机构，建立健全了符合自身经营特点、独立完整的内部经营管理机构，独立行使经营管理职权，各机构严格依照《公司法》、《公司章程》以及公司各项规章制度的规定行使职权。</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cs="Times New Roman" w:hint="eastAsia"/>
        </w:rPr>
        <w:t>公司在生产经营和管理机构方面与控股股东、实际控制人及其控制的其他企业间不存在机构混同的情形，不存在混合经营、合署办公的情形，不存在控股股东、实际控制人及其控制的其他企业和其他主要股东干预公司机构设置的情况。</w:t>
      </w:r>
    </w:p>
    <w:p w:rsidR="000C39A3" w:rsidRDefault="000C39A3">
      <w:pPr>
        <w:pStyle w:val="a4"/>
        <w:spacing w:before="0" w:beforeAutospacing="0" w:after="0" w:afterAutospacing="0" w:line="360" w:lineRule="auto"/>
        <w:ind w:firstLine="240"/>
        <w:jc w:val="both"/>
        <w:divId w:val="1782719528"/>
        <w:rPr>
          <w:rFonts w:ascii="Times New Roman" w:hAnsi="Times New Roman" w:cs="Times New Roman"/>
          <w:sz w:val="18"/>
          <w:szCs w:val="18"/>
        </w:rPr>
      </w:pPr>
      <w:r>
        <w:rPr>
          <w:rFonts w:cs="Times New Roman" w:hint="eastAsia"/>
        </w:rPr>
        <w:t>（五）业务独立方面</w:t>
      </w:r>
      <w:r>
        <w:rPr>
          <w:rFonts w:ascii="Times New Roman" w:hAnsi="Times New Roman" w:cs="Times New Roman"/>
        </w:rPr>
        <w:t xml:space="preserve"> </w:t>
      </w:r>
    </w:p>
    <w:p w:rsidR="000C39A3" w:rsidRDefault="000C39A3">
      <w:pPr>
        <w:pStyle w:val="a4"/>
        <w:spacing w:before="0" w:beforeAutospacing="0" w:after="0" w:afterAutospacing="0" w:line="360" w:lineRule="auto"/>
        <w:ind w:firstLine="480"/>
        <w:jc w:val="both"/>
        <w:divId w:val="1782719528"/>
        <w:rPr>
          <w:rFonts w:ascii="Times New Roman" w:hAnsi="Times New Roman" w:cs="Times New Roman"/>
          <w:sz w:val="18"/>
          <w:szCs w:val="18"/>
        </w:rPr>
      </w:pPr>
      <w:r>
        <w:rPr>
          <w:rFonts w:cs="Times New Roman" w:hint="eastAsia"/>
        </w:rPr>
        <w:lastRenderedPageBreak/>
        <w:t>公司专注于进行空气压缩机整机以及配套设备的研发、生产与销售，报告期内主营业务未发生变化。公司的业务独立于控股股东、实际控制人及其控制的其他企业，与控股股东、实际控制人及其控制的其他企业间不存在同业竞争或者显失公平的关联交易。</w:t>
      </w:r>
      <w:r>
        <w:rPr>
          <w:rFonts w:ascii="Times New Roman" w:hAnsi="Times New Roman" w:cs="Times New Roman"/>
        </w:rPr>
        <w:t xml:space="preserve"> </w:t>
      </w:r>
    </w:p>
    <w:p w:rsidR="0080594E" w:rsidRDefault="000C39A3">
      <w:pPr>
        <w:pStyle w:val="2"/>
        <w:spacing w:before="300" w:after="300" w:line="320" w:lineRule="exact"/>
        <w:rPr>
          <w:rFonts w:ascii="宋体" w:eastAsia="宋体" w:hAnsi="宋体" w:cs="宋体"/>
          <w:b/>
          <w:bCs/>
          <w:sz w:val="24"/>
          <w:szCs w:val="24"/>
        </w:rPr>
      </w:pPr>
      <w:bookmarkStart w:id="57" w:name="_Toc988945"/>
      <w:r>
        <w:rPr>
          <w:rFonts w:ascii="宋体" w:eastAsia="宋体" w:hAnsi="宋体" w:cs="宋体"/>
          <w:b/>
          <w:bCs/>
          <w:sz w:val="24"/>
          <w:szCs w:val="24"/>
        </w:rPr>
        <w:t>三、同业竞争情况</w:t>
      </w:r>
      <w:bookmarkEnd w:id="57"/>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58" w:name="_Toc988946"/>
      <w:r>
        <w:rPr>
          <w:rFonts w:ascii="宋体" w:eastAsia="宋体" w:hAnsi="宋体" w:cs="宋体"/>
          <w:b/>
          <w:bCs/>
          <w:sz w:val="24"/>
          <w:szCs w:val="24"/>
        </w:rPr>
        <w:t>四、报告期内召开的年度股东大会和临时股东大会的有关情况</w:t>
      </w:r>
      <w:bookmarkEnd w:id="58"/>
    </w:p>
    <w:p w:rsidR="0080594E" w:rsidRDefault="000C39A3">
      <w:pPr>
        <w:pStyle w:val="3"/>
        <w:spacing w:line="280" w:lineRule="exact"/>
        <w:jc w:val="left"/>
        <w:rPr>
          <w:rFonts w:ascii="宋体" w:hAnsi="宋体" w:cs="宋体"/>
          <w:b/>
          <w:bCs/>
        </w:rPr>
      </w:pPr>
      <w:bookmarkStart w:id="59" w:name="_Toc988947"/>
      <w:r>
        <w:rPr>
          <w:rFonts w:ascii="宋体" w:hAnsi="宋体" w:cs="宋体"/>
          <w:b/>
          <w:bCs/>
        </w:rPr>
        <w:t>1、本报告期股东大会情况</w:t>
      </w:r>
      <w:bookmarkEnd w:id="59"/>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会议届次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会议类型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投资者参与比例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召开日期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会议决议</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2022年第一次临时股东大会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2022年01月12日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2022年01月12日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详见巨潮资讯网（www.cninfo.com.cn）《厦门东亚机械工业股份有限公司2022年第一次临时股东大会决议公告》（公告编号：2022-004）</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2021年年度股东大会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年度股东大会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74.95%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2022年05月11日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2022年05月11日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详见巨潮资讯网（www.cninfo.com.cn）《厦门东亚机械工业股份有限公司2021年年度股东大会决议公告》（公告编号：2022-024）</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2022年第二次临时股东大会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74.95%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详见巨潮资讯网（www.cninfo.com.cn）《厦门东亚机械工业股份有限公司2022年第二次临时股东大会决议公告》（公告编号：2022-041）</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2022年第三次临时股东大会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74.39%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2022年09月15日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2022年09月15日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详见巨潮资讯网（www.cninfo.com.cn）《厦门东亚机械工业股份有限公司2022年第三次临时股东大会决议公告》（公告编号：2022-055）</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2022年第四次临时股东大会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74.39%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2022年11月16日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2022年11月16日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详见巨潮资讯网（www.cninfo.com.cn）《厦门东亚机械工业股份有</w:t>
            </w:r>
            <w:r>
              <w:rPr>
                <w:rFonts w:ascii="宋体" w:eastAsia="宋体" w:hAnsi="宋体" w:cs="宋体"/>
                <w:sz w:val="18"/>
                <w:szCs w:val="18"/>
              </w:rPr>
              <w:lastRenderedPageBreak/>
              <w:t>限公司2022年第四次临时股东大会决议公告》（公告编号：2022-063）</w:t>
            </w:r>
          </w:p>
        </w:tc>
      </w:tr>
    </w:tbl>
    <w:p w:rsidR="0080594E" w:rsidRDefault="000C39A3">
      <w:pPr>
        <w:pStyle w:val="3"/>
        <w:spacing w:line="280" w:lineRule="exact"/>
        <w:jc w:val="left"/>
        <w:rPr>
          <w:rFonts w:ascii="宋体" w:hAnsi="宋体" w:cs="宋体"/>
          <w:b/>
          <w:bCs/>
        </w:rPr>
      </w:pPr>
      <w:bookmarkStart w:id="60" w:name="_Toc988948"/>
      <w:r>
        <w:rPr>
          <w:rFonts w:ascii="宋体" w:hAnsi="宋体" w:cs="宋体"/>
          <w:b/>
          <w:bCs/>
        </w:rPr>
        <w:lastRenderedPageBreak/>
        <w:t>2、表决权恢复的优先股股东请求召开临时股东大会</w:t>
      </w:r>
      <w:bookmarkEnd w:id="6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61" w:name="_Toc988949"/>
      <w:r>
        <w:rPr>
          <w:rFonts w:ascii="宋体" w:eastAsia="宋体" w:hAnsi="宋体" w:cs="宋体"/>
          <w:b/>
          <w:bCs/>
          <w:sz w:val="24"/>
          <w:szCs w:val="24"/>
        </w:rPr>
        <w:t>五、公司具有表决权差异安排</w:t>
      </w:r>
      <w:bookmarkEnd w:id="6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62" w:name="_Toc988950"/>
      <w:r>
        <w:rPr>
          <w:rFonts w:ascii="宋体" w:eastAsia="宋体" w:hAnsi="宋体" w:cs="宋体"/>
          <w:b/>
          <w:bCs/>
          <w:sz w:val="24"/>
          <w:szCs w:val="24"/>
        </w:rPr>
        <w:t>六、红筹架构公司治理情况</w:t>
      </w:r>
      <w:bookmarkEnd w:id="62"/>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63" w:name="_Toc988951"/>
      <w:r>
        <w:rPr>
          <w:rFonts w:ascii="宋体" w:eastAsia="宋体" w:hAnsi="宋体" w:cs="宋体"/>
          <w:b/>
          <w:bCs/>
          <w:sz w:val="24"/>
          <w:szCs w:val="24"/>
        </w:rPr>
        <w:t>七、董事、监事和高级管理人员情况</w:t>
      </w:r>
      <w:bookmarkEnd w:id="63"/>
    </w:p>
    <w:p w:rsidR="0080594E" w:rsidRDefault="000C39A3">
      <w:pPr>
        <w:pStyle w:val="3"/>
        <w:spacing w:line="280" w:lineRule="exact"/>
        <w:jc w:val="left"/>
        <w:rPr>
          <w:rFonts w:ascii="宋体" w:hAnsi="宋体" w:cs="宋体"/>
          <w:b/>
          <w:bCs/>
        </w:rPr>
      </w:pPr>
      <w:bookmarkStart w:id="64" w:name="_Toc988952"/>
      <w:r>
        <w:rPr>
          <w:rFonts w:ascii="宋体" w:hAnsi="宋体" w:cs="宋体"/>
          <w:b/>
          <w:bCs/>
        </w:rPr>
        <w:t>1、基本情况</w:t>
      </w:r>
      <w:bookmarkEnd w:id="6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80594E">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职务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任职状态</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性别</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年龄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任期起始日期</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任期终止日期</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期初持股数（股）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本期增持股份数量（股）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本期减持股份数量（股）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其他增减变动（股）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期末持股数（股）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股份增减变动的原因</w:t>
            </w: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董事长</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韩文浩</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董事、总经理、董事会秘书</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罗秀英</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董事、副总经理</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刘连科</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董事、总工程师</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2021年01月07日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屈中标</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w:t>
            </w:r>
            <w:r>
              <w:rPr>
                <w:rFonts w:ascii="宋体" w:eastAsia="宋体" w:hAnsi="宋体" w:cs="宋体"/>
                <w:sz w:val="18"/>
                <w:szCs w:val="18"/>
              </w:rPr>
              <w:lastRenderedPageBreak/>
              <w:t>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2022年06月08</w:t>
            </w:r>
            <w:r>
              <w:rPr>
                <w:rFonts w:ascii="宋体" w:eastAsia="宋体" w:hAnsi="宋体" w:cs="宋体"/>
                <w:sz w:val="18"/>
                <w:szCs w:val="18"/>
              </w:rPr>
              <w:lastRenderedPageBreak/>
              <w:t>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2020年01月18日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林建宗</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卢文勇</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肖鸿</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许泽浑</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职工代表监事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张美俊</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副总经理</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岳秀丽</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财务总监</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2019年06月12日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林翠瑜</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监事会主席、职工代表监事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洪兵</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姚丽芳</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2025年06月08日</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报告期是否存在任期内董事、监事离任和高级管理人员解聘的情况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公司董事、监事、高级管理人员变动情况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担任的职务</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日期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原因</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屈中标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卢文勇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肖鸿</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许泽浑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职工代表监事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任期满离任</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林建宗</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被选举</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林翠瑜</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监事会主席、职工代表监事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被选举</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洪兵</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被选举</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姚丽芳</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被选举</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bl>
    <w:p w:rsidR="0080594E" w:rsidRDefault="000C39A3">
      <w:pPr>
        <w:pStyle w:val="3"/>
        <w:spacing w:line="280" w:lineRule="exact"/>
        <w:jc w:val="left"/>
        <w:rPr>
          <w:rFonts w:ascii="宋体" w:hAnsi="宋体" w:cs="宋体"/>
          <w:b/>
          <w:bCs/>
        </w:rPr>
      </w:pPr>
      <w:bookmarkStart w:id="65" w:name="_Toc988953"/>
      <w:r>
        <w:rPr>
          <w:rFonts w:ascii="宋体" w:hAnsi="宋体" w:cs="宋体"/>
          <w:b/>
          <w:bCs/>
        </w:rPr>
        <w:t>2、任职情况</w:t>
      </w:r>
      <w:bookmarkEnd w:id="65"/>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公司现任董事、监事、高级管理人员专业背景、主要工作经历以及目前在公司的主要职责</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w:t>
      </w:r>
      <w:r>
        <w:rPr>
          <w:rFonts w:ascii="Times New Roman" w:hAnsi="Times New Roman" w:cs="Times New Roman"/>
        </w:rPr>
        <w:t>1</w:t>
      </w:r>
      <w:r>
        <w:rPr>
          <w:rFonts w:cs="Times New Roman" w:hint="eastAsia"/>
        </w:rPr>
        <w:t>）董事会成员</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21"/>
          <w:szCs w:val="21"/>
        </w:rPr>
      </w:pPr>
      <w:r>
        <w:rPr>
          <w:rFonts w:cs="Times New Roman" w:hint="eastAsia"/>
        </w:rPr>
        <w:t>韩萤焕，男，中国台湾籍，1959年5月出生，大专学历。厦门市荣誉市民，厦门市同安区第十二届、第十三届政协委员，厦门市同安台商爱心基金发起人和管理人。1991年至2016年历任厦门东亚机械有限公司总经理、董事长、执行董事；现任太平洋捷豹控股有限公司董事、Pacific Goal 董事、厦门市台商协会会长、厦门市外商协会副会长、厦门市同安区工商联副会长、厦门市同安区商会副会长、厦门市同安区台胞台属联谊会副会长。2016年至今任本公司董事长。</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韩文浩，男，中国台湾籍，1988年2月出生，研究生学历，工业工程硕士。2021年第三批福建省高层次人才，2020年厦门市第七批台湾特聘专才。2012年11月至2016年历任厦门东亚机械有限公司董事长助理、董事；现任Profit Goal 董事、中国通用机械工业协会压缩机分会标准化委员会委员、中国通用机械工业协会压缩机分会技术委员会委员、全国压缩机标准化技术委员会（SAC/TC145）委员。2016年至今任本公司董事、总经理、董事会秘书。</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罗秀英，女，中国台湾籍，</w:t>
      </w:r>
      <w:r>
        <w:rPr>
          <w:rFonts w:ascii="Times New Roman" w:hAnsi="Times New Roman" w:cs="Times New Roman"/>
        </w:rPr>
        <w:t>1964</w:t>
      </w:r>
      <w:r>
        <w:rPr>
          <w:rFonts w:cs="Times New Roman" w:hint="eastAsia"/>
        </w:rPr>
        <w:t>年</w:t>
      </w:r>
      <w:r>
        <w:rPr>
          <w:rFonts w:ascii="Times New Roman" w:hAnsi="Times New Roman" w:cs="Times New Roman"/>
        </w:rPr>
        <w:t>5</w:t>
      </w:r>
      <w:r>
        <w:rPr>
          <w:rFonts w:cs="Times New Roman" w:hint="eastAsia"/>
        </w:rPr>
        <w:t>月出生，商专学历。</w:t>
      </w:r>
      <w:r>
        <w:rPr>
          <w:rFonts w:ascii="Times New Roman" w:hAnsi="Times New Roman" w:cs="Times New Roman"/>
        </w:rPr>
        <w:t>1997</w:t>
      </w:r>
      <w:r>
        <w:rPr>
          <w:rFonts w:cs="Times New Roman" w:hint="eastAsia"/>
        </w:rPr>
        <w:t>年至</w:t>
      </w:r>
      <w:r>
        <w:rPr>
          <w:rFonts w:ascii="Times New Roman" w:hAnsi="Times New Roman" w:cs="Times New Roman"/>
        </w:rPr>
        <w:t>2016</w:t>
      </w:r>
      <w:r>
        <w:rPr>
          <w:rFonts w:cs="Times New Roman" w:hint="eastAsia"/>
        </w:rPr>
        <w:t>年任东亚有限管理人员，</w:t>
      </w:r>
      <w:r>
        <w:rPr>
          <w:rFonts w:ascii="Times New Roman" w:hAnsi="Times New Roman" w:cs="Times New Roman"/>
        </w:rPr>
        <w:t>2015</w:t>
      </w:r>
      <w:r>
        <w:rPr>
          <w:rFonts w:cs="Times New Roman" w:hint="eastAsia"/>
        </w:rPr>
        <w:t>年至今任</w:t>
      </w:r>
      <w:r>
        <w:rPr>
          <w:rFonts w:ascii="Times New Roman" w:hAnsi="Times New Roman" w:cs="Times New Roman"/>
        </w:rPr>
        <w:t>Profit Queen</w:t>
      </w:r>
      <w:r>
        <w:rPr>
          <w:rFonts w:cs="Times New Roman" w:hint="eastAsia"/>
        </w:rPr>
        <w:t>董事。</w:t>
      </w:r>
      <w:r>
        <w:rPr>
          <w:rFonts w:ascii="Times New Roman" w:hAnsi="Times New Roman" w:cs="Times New Roman"/>
        </w:rPr>
        <w:t>2016</w:t>
      </w:r>
      <w:r>
        <w:rPr>
          <w:rFonts w:cs="Times New Roman" w:hint="eastAsia"/>
        </w:rPr>
        <w:t>年至今任本公司董事、副总经理。</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刘连科，男，中国国籍，无境外永久居留权，1942年2月出生，本科学历，高级工程师。1969年至1978年任国营松江机械厂技术员；1978 年至1984年任国营江河机械厂副厂长；1984 年至1991年任国营江河机械厂厂长；1991年至1998年任中国北方工业厦门公司副总经理；1998 年至 2016年任职于厦门东亚机械有限公司。2016年至今任本公司董事、总工程师。</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21"/>
          <w:szCs w:val="21"/>
        </w:rPr>
      </w:pPr>
      <w:r>
        <w:rPr>
          <w:rFonts w:cs="Times New Roman" w:hint="eastAsia"/>
        </w:rPr>
        <w:t>姚斌，男，中国国籍，无境外永久居留权，1963年9月出生，博士研究生学历，高级工程师，教授。陕西省“百人计划”特聘教授。1985年至1989年任河南洛阳油嘴油泵厂技术员；1989 年至1992年任河南洛阳第一拖拉机厂工程师；1992年至1995年在西安交通大学攻读硕士；1995 年至1999年历任中国第一拖拉机工程机械公司装备公司高级工程</w:t>
      </w:r>
      <w:r>
        <w:rPr>
          <w:rFonts w:cs="Times New Roman" w:hint="eastAsia"/>
        </w:rPr>
        <w:lastRenderedPageBreak/>
        <w:t>师、技术科长、副总工程师；1999年至2003年在西安交通大学攻读博士。2003年至今职教于厦门大学现任航空航天学院教授，现任中国机械工程协会高级会员、中国刀具协会理事、中国机械制造工艺学会委员。2021年1月至今任本公司独立董事。</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林建宗，男，中国国籍，无境外永久居留权，1965年4月出生，博士研究生学历，教授。1981年至1990年在中国人民解放军服役。1990年至1998年先后任中国人民保险公司厦门分公司信息技术部工程师、高级工程师；1998年至2002年先后任中国太保洋保险公司厦门分公司信息技术部经理、业务管理部经理、高级工程师；2002年至2003年任通标标准技术服务有限公司厦门分公司理算部高级理算师；2003年至2004年任厦门金富源保险公估有限公司总经理、高级工程师；2004年至2007年在厦门大学攻读博士学位；2007年至今先后任厦门理工学院电子商务教研室主任、商学院副院长、厦门理工学院资产经营有限公司副董事长兼总经理、电子商务专业负责人。2022年6月至今任本公司独立董事。</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刘志云，男，中国国籍，无境外永久居留权，1977年4月出生，博士研究生学历，教授。2004年9月至今任职于厦门大学法学院，目前兼任厦门市政府司法局立法咨询专家、中国法学会银行法学研究会常务理事、福建省青年联合会主任委员、环创（厦门）科技股份有限公司独立董事、厦门市有神网络技术有限公司董事、厦门嘉戎技术股份有限公司独立董事、元翔（厦门）国际航空港股份有限公司独立董事、固克节能科技股份有限公司独立董事和圆信永丰基金管理有限公司独立董事。2020年1月至今任本公司独立董事。</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w:t>
      </w:r>
      <w:r>
        <w:rPr>
          <w:rFonts w:ascii="Times New Roman" w:hAnsi="Times New Roman" w:cs="Times New Roman"/>
        </w:rPr>
        <w:t>2</w:t>
      </w:r>
      <w:r>
        <w:rPr>
          <w:rFonts w:cs="Times New Roman" w:hint="eastAsia"/>
        </w:rPr>
        <w:t>）监事会成员</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林翠瑜，女，中国国籍，无境外永久居留权，1974年2月出生，大专学历。1994年至今就职于公司销售部。2022年6月至今任本公司监事会主席、职工代表监事 。</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洪兵，男，中国国籍，无境外永久居留权，1965年11月出生，本科学历，工程师。1986年至1999年历任中国北方工业厦门公司职员、经理；1999年至2016年任职于厦门东亚机械有限公司。2016年至2021年任本公司副总经理。2022年6月至今任本公司监事。</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姚丽芳，女，中国国籍，无境外永久居留权，1967年9月出生，大专学历，工程师。1990年至1997年任西北有色地质机械厂动力科工程师；1997年至2016年任职于厦门东亚机械有限公司。2016年至2022年任本公司品管部经理。2022年6月至今任本公司监事。</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w:t>
      </w:r>
      <w:r>
        <w:rPr>
          <w:rFonts w:ascii="Times New Roman" w:hAnsi="Times New Roman" w:cs="Times New Roman"/>
        </w:rPr>
        <w:t>3</w:t>
      </w:r>
      <w:r>
        <w:rPr>
          <w:rFonts w:cs="Times New Roman" w:hint="eastAsia"/>
        </w:rPr>
        <w:t>）高级管理人员</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ascii="Times New Roman" w:hAnsi="Times New Roman" w:cs="Times New Roman"/>
        </w:rPr>
        <w:t> </w:t>
      </w:r>
      <w:r>
        <w:rPr>
          <w:rFonts w:cs="Times New Roman" w:hint="eastAsia"/>
        </w:rPr>
        <w:t>韩文浩，公司董事、总经理、董事会秘书，简历参见本节</w:t>
      </w:r>
      <w:r>
        <w:rPr>
          <w:rFonts w:ascii="Times New Roman" w:hAnsi="Times New Roman" w:cs="Times New Roman"/>
        </w:rPr>
        <w:t>“2</w:t>
      </w:r>
      <w:r>
        <w:rPr>
          <w:rFonts w:cs="Times New Roman" w:hint="eastAsia"/>
        </w:rPr>
        <w:t>、（</w:t>
      </w:r>
      <w:r>
        <w:rPr>
          <w:rFonts w:ascii="Times New Roman" w:hAnsi="Times New Roman" w:cs="Times New Roman"/>
        </w:rPr>
        <w:t>1</w:t>
      </w:r>
      <w:r>
        <w:rPr>
          <w:rFonts w:cs="Times New Roman" w:hint="eastAsia"/>
        </w:rPr>
        <w:t>）董事会成员</w:t>
      </w:r>
      <w:r>
        <w:rPr>
          <w:rFonts w:ascii="Times New Roman" w:hAnsi="Times New Roman" w:cs="Times New Roman"/>
        </w:rPr>
        <w:t>”</w:t>
      </w:r>
      <w:r>
        <w:rPr>
          <w:rFonts w:cs="Times New Roman" w:hint="eastAsia"/>
        </w:rPr>
        <w:t>。</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ascii="Times New Roman" w:hAnsi="Times New Roman" w:cs="Times New Roman"/>
        </w:rPr>
        <w:lastRenderedPageBreak/>
        <w:t> </w:t>
      </w:r>
      <w:r>
        <w:rPr>
          <w:rFonts w:cs="Times New Roman" w:hint="eastAsia"/>
        </w:rPr>
        <w:t>罗秀英，公司董事、副总经理，简历参见本节</w:t>
      </w:r>
      <w:r>
        <w:rPr>
          <w:rFonts w:ascii="Times New Roman" w:hAnsi="Times New Roman" w:cs="Times New Roman"/>
        </w:rPr>
        <w:t>“2</w:t>
      </w:r>
      <w:r>
        <w:rPr>
          <w:rFonts w:cs="Times New Roman" w:hint="eastAsia"/>
        </w:rPr>
        <w:t>、（</w:t>
      </w:r>
      <w:r>
        <w:rPr>
          <w:rFonts w:ascii="Times New Roman" w:hAnsi="Times New Roman" w:cs="Times New Roman"/>
        </w:rPr>
        <w:t>1</w:t>
      </w:r>
      <w:r>
        <w:rPr>
          <w:rFonts w:cs="Times New Roman" w:hint="eastAsia"/>
        </w:rPr>
        <w:t>）董事会成员</w:t>
      </w:r>
      <w:r>
        <w:rPr>
          <w:rFonts w:ascii="Times New Roman" w:hAnsi="Times New Roman" w:cs="Times New Roman"/>
        </w:rPr>
        <w:t>”</w:t>
      </w:r>
      <w:r>
        <w:rPr>
          <w:rFonts w:cs="Times New Roman" w:hint="eastAsia"/>
        </w:rPr>
        <w:t>。</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ascii="Times New Roman" w:hAnsi="Times New Roman" w:cs="Times New Roman"/>
        </w:rPr>
        <w:t> </w:t>
      </w:r>
      <w:r>
        <w:rPr>
          <w:rFonts w:cs="Times New Roman" w:hint="eastAsia"/>
        </w:rPr>
        <w:t>刘连科，公司董事、总工程师，简历参见本节</w:t>
      </w:r>
      <w:r>
        <w:rPr>
          <w:rFonts w:ascii="Times New Roman" w:hAnsi="Times New Roman" w:cs="Times New Roman"/>
        </w:rPr>
        <w:t>“2</w:t>
      </w:r>
      <w:r>
        <w:rPr>
          <w:rFonts w:cs="Times New Roman" w:hint="eastAsia"/>
        </w:rPr>
        <w:t>、（</w:t>
      </w:r>
      <w:r>
        <w:rPr>
          <w:rFonts w:ascii="Times New Roman" w:hAnsi="Times New Roman" w:cs="Times New Roman"/>
        </w:rPr>
        <w:t>1</w:t>
      </w:r>
      <w:r>
        <w:rPr>
          <w:rFonts w:cs="Times New Roman" w:hint="eastAsia"/>
        </w:rPr>
        <w:t>）董事会成员</w:t>
      </w:r>
      <w:r>
        <w:rPr>
          <w:rFonts w:ascii="Times New Roman" w:hAnsi="Times New Roman" w:cs="Times New Roman"/>
        </w:rPr>
        <w:t>”</w:t>
      </w:r>
      <w:r>
        <w:rPr>
          <w:rFonts w:cs="Times New Roman" w:hint="eastAsia"/>
        </w:rPr>
        <w:t>。</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ascii="Times New Roman" w:hAnsi="Times New Roman" w:cs="Times New Roman"/>
        </w:rPr>
        <w:t> </w:t>
      </w:r>
      <w:r>
        <w:rPr>
          <w:rFonts w:cs="Times New Roman" w:hint="eastAsia"/>
        </w:rPr>
        <w:t>张美俊，男，中国国籍，无境外永久居留权，1970年3月出生，大专学历。1991年至1996 年历任福建省长汀电机厂科长、厂长；1996年至1997年任德马玩具厂厂长；1997年至2016年任职于厦门东亚机械有限公司；目前兼任润来（厦门）投资管理有限公司监事。2016年至今任本公司副总经理。 </w:t>
      </w:r>
    </w:p>
    <w:p w:rsidR="000C39A3" w:rsidRDefault="000C39A3">
      <w:pPr>
        <w:pStyle w:val="a4"/>
        <w:spacing w:before="0" w:beforeAutospacing="0" w:after="0" w:afterAutospacing="0" w:line="360" w:lineRule="auto"/>
        <w:ind w:firstLine="480"/>
        <w:jc w:val="both"/>
        <w:divId w:val="943420912"/>
        <w:rPr>
          <w:rFonts w:ascii="Times New Roman" w:hAnsi="Times New Roman" w:cs="Times New Roman"/>
          <w:sz w:val="18"/>
          <w:szCs w:val="18"/>
        </w:rPr>
      </w:pPr>
      <w:r>
        <w:rPr>
          <w:rFonts w:cs="Times New Roman" w:hint="eastAsia"/>
        </w:rPr>
        <w:t>岳秀丽，女，中国国籍，无境外永久居留权，1983年1月出生，本科学历，厦门大学EMBA在读。取得会计师、经济师职称，取得上海证券交易所独立董事及董事会秘书资格证书，取得深圳证券交易所董事会秘书资格证书，取得证券分析师、证券投资顾问及基金从业合格证书，获得上海证券报2021年度上市公司优秀财务总监奖项。2005年至2016年任职于厦门东亚机械有限公司财务部，2016年至今任本公司财务总监。 </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在股东单位任职情况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7"/>
        <w:gridCol w:w="1606"/>
        <w:gridCol w:w="1606"/>
        <w:gridCol w:w="1606"/>
        <w:gridCol w:w="1606"/>
        <w:gridCol w:w="1608"/>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任职人员姓名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股东单位名称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在股东单位担任的职务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任期起始日期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任期终止日期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在股东单位是否领取报酬津贴</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2015年07月23日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在股东单位任职情况的说明</w:t>
            </w:r>
          </w:p>
        </w:tc>
        <w:tc>
          <w:tcPr>
            <w:tcW w:w="8032"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在其他单位任职情况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任职人员姓名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在其他单位担任的职务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任期起始日期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任期终止日期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在其他单位是否领取报酬津贴</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Pacific Goal Holdings Limited</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2015年07月07日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罗秀英</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Profit Queen International CORP.</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2015年07月07日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韩文浩</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Profit Goal International CORP.</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2015年07月07日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肖鸿</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润来（厦门）投资管理有限公司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执行董事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2015年07月28日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厦门大学</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航空航天学院教授</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2003年06月30日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中国机械工程协会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高级会员</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2007年12月08日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中国刀具协会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理事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2017年12月08日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中国机械工程学会成组与智能集成技术分会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理事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2012年10月16日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2022年12月31日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姚斌</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中国机械制造工艺学会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委员</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2012年10月12日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厦门大学</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法学院教授</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2004年09月13日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厦门市政府</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司法局立法咨询专家</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2017年12月19日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中国法学会银行法学研究会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常委</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2016年11月13日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福建省青年联合会</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主任委员</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2018年11月30日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厦门嘉戎科技股份有限公司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2019年09月27日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元翔（厦门）国际航空港股份有限公司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2017年05月18日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固克节能科技股份有限公司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2019年12月31日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圆信永丰基金管理有限公司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2016年12月23日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环创（厦门）科技股份有限公司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2020年01月01日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厦门市有神网络技术有限公司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2016年07月15日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林建宗</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厦门理工学院</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经济与管理学院教授</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2007年08月01日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林建宗</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富邦国际（厦门）保险经纪有限公司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顾问</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2022年01月01日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公司现任及报告期内离任董事、监事和高级管理人员近三年证券监管机构处罚的情况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66" w:name="_Toc988954"/>
      <w:r>
        <w:rPr>
          <w:rFonts w:ascii="宋体" w:hAnsi="宋体" w:cs="宋体"/>
          <w:b/>
          <w:bCs/>
        </w:rPr>
        <w:t>3、董事、监事、高级管理人员报酬情况</w:t>
      </w:r>
      <w:bookmarkEnd w:id="66"/>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董事、监事、高级管理人员报酬的决策程序、确定依据、实际支付情况</w:t>
      </w:r>
    </w:p>
    <w:p w:rsidR="000C39A3" w:rsidRDefault="000C39A3">
      <w:pPr>
        <w:pStyle w:val="a4"/>
        <w:spacing w:before="0" w:beforeAutospacing="0" w:after="0" w:afterAutospacing="0" w:line="360" w:lineRule="auto"/>
        <w:ind w:firstLine="480"/>
        <w:jc w:val="both"/>
        <w:divId w:val="705376924"/>
        <w:rPr>
          <w:rFonts w:ascii="Times New Roman" w:hAnsi="Times New Roman" w:cs="Times New Roman"/>
          <w:sz w:val="18"/>
          <w:szCs w:val="18"/>
        </w:rPr>
      </w:pPr>
      <w:r>
        <w:rPr>
          <w:rFonts w:cs="Times New Roman" w:hint="eastAsia"/>
        </w:rPr>
        <w:t>公司董事、监事、高级管理人员的薪酬由工资和奖金两部分组成。其中工资根据人员的职务、资历、学历、技能等因素确定发放，奖金根据年度考评及公司经营情况确定发放。董事会薪酬与考核委员会按照公司业绩情况、绩效考评结果等，提出具体薪酬指标，报董事会批准后执行。独立董事的津贴参照市场一般水平拟定。报告期内，公司董事、监事和高级管理人员的薪酬方案均已经第二届董事会第二十四次会议、</w:t>
      </w:r>
      <w:r>
        <w:rPr>
          <w:rFonts w:ascii="Times New Roman" w:hAnsi="Times New Roman" w:cs="Times New Roman"/>
        </w:rPr>
        <w:t>2021</w:t>
      </w:r>
      <w:r>
        <w:rPr>
          <w:rFonts w:cs="Times New Roman" w:hint="eastAsia"/>
        </w:rPr>
        <w:t>年年度股东大会审议通过。</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公司报告期内董事、监事和高级管理人员报酬情况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职务</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性别</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年龄</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任职状态</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从公司获得的税前报酬总额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是否在公司关联方获取报酬</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董事长</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272.1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韩文浩</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董事、总经理、董事会秘书</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107.55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罗秀英</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董事、副总经理</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89.22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刘连科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董事、总工程师</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屈中标</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林建宗</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卢文勇</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63.91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肖鸿</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54.23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许泽浑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职工代表监事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离任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54.74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张美俊</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副总经理</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岳秀丽</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财务总监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53.42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林翠瑜</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29.29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洪兵</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11.68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姚丽芳</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监事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41.29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920.03</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80594E" w:rsidRDefault="000C39A3">
      <w:pPr>
        <w:pStyle w:val="2"/>
        <w:spacing w:before="300" w:after="300" w:line="320" w:lineRule="exact"/>
        <w:rPr>
          <w:rFonts w:ascii="宋体" w:eastAsia="宋体" w:hAnsi="宋体" w:cs="宋体"/>
          <w:b/>
          <w:bCs/>
          <w:sz w:val="24"/>
          <w:szCs w:val="24"/>
        </w:rPr>
      </w:pPr>
      <w:bookmarkStart w:id="67" w:name="_Toc988955"/>
      <w:r>
        <w:rPr>
          <w:rFonts w:ascii="宋体" w:eastAsia="宋体" w:hAnsi="宋体" w:cs="宋体"/>
          <w:b/>
          <w:bCs/>
          <w:sz w:val="24"/>
          <w:szCs w:val="24"/>
        </w:rPr>
        <w:t>八、报告期内董事履行职责的情况</w:t>
      </w:r>
      <w:bookmarkEnd w:id="67"/>
    </w:p>
    <w:p w:rsidR="0080594E" w:rsidRDefault="000C39A3">
      <w:pPr>
        <w:pStyle w:val="3"/>
        <w:spacing w:line="280" w:lineRule="exact"/>
        <w:jc w:val="left"/>
        <w:rPr>
          <w:rFonts w:ascii="宋体" w:hAnsi="宋体" w:cs="宋体"/>
          <w:b/>
          <w:bCs/>
        </w:rPr>
      </w:pPr>
      <w:bookmarkStart w:id="68" w:name="_Toc988956"/>
      <w:r>
        <w:rPr>
          <w:rFonts w:ascii="宋体" w:hAnsi="宋体" w:cs="宋体"/>
          <w:b/>
          <w:bCs/>
        </w:rPr>
        <w:t>1、本报告期董事会情况</w:t>
      </w:r>
      <w:bookmarkEnd w:id="68"/>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会议届次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召开日期</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会议决议</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第二届董事会第二十三次会议</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2022年03月03日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2022年03月03日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详见巨潮资讯网（www.cninfo.com.cn）《第二届董事会第二十三次会议决议公告告》（公告编号：2022-007）</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第二届董事会第二十四次会议</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2022年04月06日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2022年04月08日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详见巨潮资讯网（www.cninfo.com.cn）《第二届董事会第二十四次会议决议公告告》（公告编号：2022-010）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第二届董事会第二十五次会议</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2022年04月22日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审议通过《关于&lt;2022年第一季度报告&gt;的议案》</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第二届董事会第二十六次会议</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2022年05月23日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2022年05月24日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rsidP="00763E1E">
            <w:pPr>
              <w:spacing w:line="240" w:lineRule="exact"/>
              <w:rPr>
                <w:rFonts w:ascii="宋体" w:eastAsia="宋体" w:hAnsi="宋体" w:cs="宋体"/>
                <w:sz w:val="18"/>
                <w:szCs w:val="18"/>
              </w:rPr>
            </w:pPr>
            <w:r>
              <w:rPr>
                <w:rFonts w:ascii="宋体" w:eastAsia="宋体" w:hAnsi="宋体" w:cs="宋体"/>
                <w:sz w:val="18"/>
                <w:szCs w:val="18"/>
              </w:rPr>
              <w:t>详见巨潮资讯网（www.cninfo.com.cn）《第二届董事会第二十六次会议决议公告告》（公告编号：2022-02</w:t>
            </w:r>
            <w:r w:rsidR="00763E1E">
              <w:rPr>
                <w:rFonts w:ascii="宋体" w:eastAsia="宋体" w:hAnsi="宋体" w:cs="宋体"/>
                <w:sz w:val="18"/>
                <w:szCs w:val="18"/>
              </w:rPr>
              <w:t>6</w:t>
            </w:r>
            <w:r>
              <w:rPr>
                <w:rFonts w:ascii="宋体" w:eastAsia="宋体" w:hAnsi="宋体" w:cs="宋体"/>
                <w:sz w:val="18"/>
                <w:szCs w:val="18"/>
              </w:rPr>
              <w:t>）</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第三届董事会第一次会议</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2022年06月08日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详见巨潮资讯网（www.cninfo.com.cn）《第三届董事会第一次会议决议公告告》（公告编号：2022-042）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第三届董事会第二次会议</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2022年08月26日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2022年08月30日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rsidP="00763E1E">
            <w:pPr>
              <w:spacing w:line="240" w:lineRule="exact"/>
              <w:rPr>
                <w:rFonts w:ascii="宋体" w:eastAsia="宋体" w:hAnsi="宋体" w:cs="宋体"/>
                <w:sz w:val="18"/>
                <w:szCs w:val="18"/>
              </w:rPr>
            </w:pPr>
            <w:r>
              <w:rPr>
                <w:rFonts w:ascii="宋体" w:eastAsia="宋体" w:hAnsi="宋体" w:cs="宋体"/>
                <w:sz w:val="18"/>
                <w:szCs w:val="18"/>
              </w:rPr>
              <w:t>详见巨潮资讯网（www.cninfo.com.cn）《第三届董事会第二次会议决议公告告》（公告编号：2022-0</w:t>
            </w:r>
            <w:r w:rsidR="00763E1E">
              <w:rPr>
                <w:rFonts w:ascii="宋体" w:eastAsia="宋体" w:hAnsi="宋体" w:cs="宋体"/>
                <w:sz w:val="18"/>
                <w:szCs w:val="18"/>
              </w:rPr>
              <w:t>4</w:t>
            </w:r>
            <w:r>
              <w:rPr>
                <w:rFonts w:ascii="宋体" w:eastAsia="宋体" w:hAnsi="宋体" w:cs="宋体"/>
                <w:sz w:val="18"/>
                <w:szCs w:val="18"/>
              </w:rPr>
              <w:t>6）</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第三届董事会第三次会议</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2022年10月25日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2022年10月27日</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rsidP="00763E1E">
            <w:pPr>
              <w:spacing w:line="240" w:lineRule="exact"/>
              <w:rPr>
                <w:rFonts w:ascii="宋体" w:eastAsia="宋体" w:hAnsi="宋体" w:cs="宋体"/>
                <w:sz w:val="18"/>
                <w:szCs w:val="18"/>
              </w:rPr>
            </w:pPr>
            <w:r>
              <w:rPr>
                <w:rFonts w:ascii="宋体" w:eastAsia="宋体" w:hAnsi="宋体" w:cs="宋体"/>
                <w:sz w:val="18"/>
                <w:szCs w:val="18"/>
              </w:rPr>
              <w:t>详见巨潮资讯网（www.cninfo.com.cn）《第三届董事会第三次会议决议公告告》（公告编号：2022-05</w:t>
            </w:r>
            <w:r w:rsidR="00763E1E">
              <w:rPr>
                <w:rFonts w:ascii="宋体" w:eastAsia="宋体" w:hAnsi="宋体" w:cs="宋体"/>
                <w:sz w:val="18"/>
                <w:szCs w:val="18"/>
              </w:rPr>
              <w:t>6</w:t>
            </w:r>
            <w:r>
              <w:rPr>
                <w:rFonts w:ascii="宋体" w:eastAsia="宋体" w:hAnsi="宋体" w:cs="宋体"/>
                <w:sz w:val="18"/>
                <w:szCs w:val="18"/>
              </w:rPr>
              <w:t>）</w:t>
            </w:r>
          </w:p>
        </w:tc>
      </w:tr>
    </w:tbl>
    <w:p w:rsidR="0080594E" w:rsidRDefault="000C39A3">
      <w:pPr>
        <w:pStyle w:val="3"/>
        <w:spacing w:line="280" w:lineRule="exact"/>
        <w:jc w:val="left"/>
        <w:rPr>
          <w:rFonts w:ascii="宋体" w:hAnsi="宋体" w:cs="宋体"/>
          <w:b/>
          <w:bCs/>
        </w:rPr>
      </w:pPr>
      <w:bookmarkStart w:id="69" w:name="_Toc988957"/>
      <w:r>
        <w:rPr>
          <w:rFonts w:ascii="宋体" w:hAnsi="宋体" w:cs="宋体"/>
          <w:b/>
          <w:bCs/>
        </w:rPr>
        <w:lastRenderedPageBreak/>
        <w:t>2、董事出席董事会及股东大会的情况</w:t>
      </w:r>
      <w:bookmarkEnd w:id="69"/>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80594E">
        <w:trPr>
          <w:trHeight w:val="240"/>
        </w:trPr>
        <w:tc>
          <w:tcPr>
            <w:tcW w:w="9639"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董事出席董事会及股东大会的情况</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董事姓名</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本报告期应参加董事会次数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现场出席董事会次数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以通讯方式参加董事会次数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委托出席董事会次数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是否连续两次未亲自参加董事会会议</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出席股东大会次数</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罗秀英</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韩文浩</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刘连科</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屈中标</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林建宗</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连续两次未亲自出席董事会的说明</w:t>
      </w:r>
    </w:p>
    <w:p w:rsidR="000C39A3" w:rsidRDefault="000C39A3">
      <w:pPr>
        <w:pStyle w:val="a4"/>
        <w:spacing w:line="560" w:lineRule="atLeast"/>
        <w:ind w:firstLine="408"/>
        <w:divId w:val="544484302"/>
        <w:rPr>
          <w:sz w:val="18"/>
          <w:szCs w:val="18"/>
        </w:rPr>
      </w:pPr>
      <w:r>
        <w:rPr>
          <w:rFonts w:hint="eastAsia"/>
          <w:sz w:val="18"/>
          <w:szCs w:val="18"/>
        </w:rPr>
        <w:t>不适用</w:t>
      </w:r>
    </w:p>
    <w:p w:rsidR="0080594E" w:rsidRDefault="000C39A3">
      <w:pPr>
        <w:pStyle w:val="3"/>
        <w:spacing w:line="280" w:lineRule="exact"/>
        <w:jc w:val="left"/>
        <w:rPr>
          <w:rFonts w:ascii="宋体" w:hAnsi="宋体" w:cs="宋体"/>
          <w:b/>
          <w:bCs/>
        </w:rPr>
      </w:pPr>
      <w:bookmarkStart w:id="70" w:name="_Toc988958"/>
      <w:r>
        <w:rPr>
          <w:rFonts w:ascii="宋体" w:hAnsi="宋体" w:cs="宋体"/>
          <w:b/>
          <w:bCs/>
        </w:rPr>
        <w:t>3、董事对公司有关事项提出异议的情况</w:t>
      </w:r>
      <w:bookmarkEnd w:id="7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董事对公司有关事项是否提出异议</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报告期内董事对公司有关事项未提出异议。</w:t>
      </w:r>
    </w:p>
    <w:p w:rsidR="0080594E" w:rsidRDefault="000C39A3">
      <w:pPr>
        <w:pStyle w:val="3"/>
        <w:spacing w:line="280" w:lineRule="exact"/>
        <w:jc w:val="left"/>
        <w:rPr>
          <w:rFonts w:ascii="宋体" w:hAnsi="宋体" w:cs="宋体"/>
          <w:b/>
          <w:bCs/>
        </w:rPr>
      </w:pPr>
      <w:bookmarkStart w:id="71" w:name="_Toc988959"/>
      <w:r>
        <w:rPr>
          <w:rFonts w:ascii="宋体" w:hAnsi="宋体" w:cs="宋体"/>
          <w:b/>
          <w:bCs/>
        </w:rPr>
        <w:t>4、董事履行职责的其他说明</w:t>
      </w:r>
      <w:bookmarkEnd w:id="7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董事对公司有关建议是否被采纳</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董事对公司有关建议被采纳或未被采纳的说明</w:t>
      </w:r>
    </w:p>
    <w:p w:rsidR="000C39A3" w:rsidRDefault="000C39A3">
      <w:pPr>
        <w:pStyle w:val="a4"/>
        <w:spacing w:before="0" w:beforeAutospacing="0" w:after="0" w:afterAutospacing="0"/>
        <w:divId w:val="545021048"/>
        <w:rPr>
          <w:rFonts w:ascii="Times New Roman" w:hAnsi="Times New Roman" w:cs="Times New Roman"/>
          <w:sz w:val="18"/>
          <w:szCs w:val="18"/>
        </w:rPr>
      </w:pPr>
      <w:r>
        <w:rPr>
          <w:rFonts w:cs="Times New Roman" w:hint="eastAsia"/>
          <w:sz w:val="18"/>
          <w:szCs w:val="18"/>
        </w:rPr>
        <w:t>报告期内，董事对公司有关建议均被采纳。</w:t>
      </w:r>
    </w:p>
    <w:p w:rsidR="0080594E" w:rsidRDefault="000C39A3">
      <w:pPr>
        <w:pStyle w:val="2"/>
        <w:spacing w:before="300" w:after="300" w:line="320" w:lineRule="exact"/>
        <w:rPr>
          <w:rFonts w:ascii="宋体" w:eastAsia="宋体" w:hAnsi="宋体" w:cs="宋体"/>
          <w:b/>
          <w:bCs/>
          <w:sz w:val="24"/>
          <w:szCs w:val="24"/>
        </w:rPr>
      </w:pPr>
      <w:bookmarkStart w:id="72" w:name="_Toc988960"/>
      <w:r>
        <w:rPr>
          <w:rFonts w:ascii="宋体" w:eastAsia="宋体" w:hAnsi="宋体" w:cs="宋体"/>
          <w:b/>
          <w:bCs/>
          <w:sz w:val="24"/>
          <w:szCs w:val="24"/>
        </w:rPr>
        <w:t>九、董事会下设专门委员会在报告期内的情况</w:t>
      </w:r>
      <w:bookmarkEnd w:id="72"/>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80594E">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委员会名称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成员情况</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召开会议次数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召开日期</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会议内容</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提出的重要意见和建议</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其他履行职责的情况</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异议事项具体情况（如有）</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战略委员会</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韩萤焕、刘志云、姚斌</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2022年04月06日</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审议通过《关于&lt;2021年年度报告&gt;及其摘要的议案》</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同意</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提名委员会</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姚斌、韩萤焕、刘志云</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2022年05月17日</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审议通过《关于公司董事会换届选举暨第三届董事会非独立董事候</w:t>
            </w:r>
            <w:r>
              <w:rPr>
                <w:rFonts w:ascii="宋体" w:eastAsia="宋体" w:hAnsi="宋体" w:cs="宋体"/>
                <w:sz w:val="18"/>
                <w:szCs w:val="18"/>
              </w:rPr>
              <w:lastRenderedPageBreak/>
              <w:t>选人提名的议案》《关于公司董事会换届选举暨第三届董事会独立董事候选人提名的议案》《关于提名高级管理人员的议案》</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同意</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薪酬与考核委员会</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刘志云、韩萤焕、姚斌</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2022年04月06日</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审议通过《关于2022年度董事薪酬方案的议案》《关于2022年度高级管理人员薪酬方案的议案》</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同意</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审计委员会</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屈中标、刘志云、姚斌</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2022年04月06日</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议通过《关于&lt;2021年度财务决算报告&gt;的议案》《关于公司2021年度利润分配预案的议案》《关于&lt;2021年度内部控制自我评价报告&gt;的议案》《关于&lt;2021年度募集资金存放与使用情况的专项报告&gt;的议案》《关于续聘会计师事务所的议案》</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同意</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审计委员会</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林建宗、刘志云、姚斌</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2022年08月15日</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审议通过《关于2022年半年度报告及其摘要的议案》《关于2022年半年度募集资金存放与使用情况的专项报告的议案》《关于2022年半年度内审部工作事项报告的议</w:t>
            </w:r>
            <w:r>
              <w:rPr>
                <w:rFonts w:ascii="宋体" w:eastAsia="宋体" w:hAnsi="宋体" w:cs="宋体"/>
                <w:sz w:val="18"/>
                <w:szCs w:val="18"/>
              </w:rPr>
              <w:lastRenderedPageBreak/>
              <w:t>案》</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同意</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pStyle w:val="2"/>
        <w:spacing w:before="300" w:after="300" w:line="320" w:lineRule="exact"/>
        <w:rPr>
          <w:rFonts w:ascii="宋体" w:eastAsia="宋体" w:hAnsi="宋体" w:cs="宋体"/>
          <w:b/>
          <w:bCs/>
          <w:sz w:val="24"/>
          <w:szCs w:val="24"/>
        </w:rPr>
      </w:pPr>
      <w:bookmarkStart w:id="73" w:name="_Toc988961"/>
      <w:r>
        <w:rPr>
          <w:rFonts w:ascii="宋体" w:eastAsia="宋体" w:hAnsi="宋体" w:cs="宋体"/>
          <w:b/>
          <w:bCs/>
          <w:sz w:val="24"/>
          <w:szCs w:val="24"/>
        </w:rPr>
        <w:t>十、监事会工作情况</w:t>
      </w:r>
      <w:bookmarkEnd w:id="73"/>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监事会在报告期内的监督活动中发现公司是否存在风险</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监事会对报告期内的监督事项无异议。</w:t>
      </w:r>
    </w:p>
    <w:p w:rsidR="0080594E" w:rsidRDefault="000C39A3">
      <w:pPr>
        <w:pStyle w:val="2"/>
        <w:spacing w:before="300" w:after="300" w:line="320" w:lineRule="exact"/>
        <w:rPr>
          <w:rFonts w:ascii="宋体" w:eastAsia="宋体" w:hAnsi="宋体" w:cs="宋体"/>
          <w:b/>
          <w:bCs/>
          <w:sz w:val="24"/>
          <w:szCs w:val="24"/>
        </w:rPr>
      </w:pPr>
      <w:bookmarkStart w:id="74" w:name="_Toc988962"/>
      <w:r>
        <w:rPr>
          <w:rFonts w:ascii="宋体" w:eastAsia="宋体" w:hAnsi="宋体" w:cs="宋体"/>
          <w:b/>
          <w:bCs/>
          <w:sz w:val="24"/>
          <w:szCs w:val="24"/>
        </w:rPr>
        <w:t>十一、公司员工情况</w:t>
      </w:r>
      <w:bookmarkEnd w:id="74"/>
    </w:p>
    <w:p w:rsidR="0080594E" w:rsidRDefault="000C39A3">
      <w:pPr>
        <w:pStyle w:val="3"/>
        <w:spacing w:line="280" w:lineRule="exact"/>
        <w:jc w:val="left"/>
        <w:rPr>
          <w:rFonts w:ascii="宋体" w:hAnsi="宋体" w:cs="宋体"/>
          <w:b/>
          <w:bCs/>
        </w:rPr>
      </w:pPr>
      <w:bookmarkStart w:id="75" w:name="_Toc988963"/>
      <w:r>
        <w:rPr>
          <w:rFonts w:ascii="宋体" w:hAnsi="宋体" w:cs="宋体"/>
          <w:b/>
          <w:bCs/>
        </w:rPr>
        <w:t>1、员工数量、专业构成及教育程度</w:t>
      </w:r>
      <w:bookmarkEnd w:id="75"/>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报告期末母公司在职员工的数量（人）</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776</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报告期末主要子公司在职员工的数量（人）</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报告期末在职员工的数量合计（人）</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776</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当期领取薪酬员工总人数（人）</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842</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母公司及主要子公司需承担费用的离退休职工人数（人）</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专业构成</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专业构成类别</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专业构成人数（人）</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生产人员</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535</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销售人员</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技术人员</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财务人员</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行政人员</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776</w:t>
            </w:r>
          </w:p>
        </w:tc>
      </w:tr>
      <w:tr w:rsidR="0080594E">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教育程度</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教育程度类别</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数量（人）</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硕士</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本科</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116</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大专及以下</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649</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776</w:t>
            </w:r>
          </w:p>
        </w:tc>
      </w:tr>
    </w:tbl>
    <w:p w:rsidR="0080594E" w:rsidRDefault="000C39A3">
      <w:pPr>
        <w:pStyle w:val="3"/>
        <w:spacing w:line="280" w:lineRule="exact"/>
        <w:jc w:val="left"/>
        <w:rPr>
          <w:rFonts w:ascii="宋体" w:hAnsi="宋体" w:cs="宋体"/>
          <w:b/>
          <w:bCs/>
        </w:rPr>
      </w:pPr>
      <w:bookmarkStart w:id="76" w:name="_Toc988964"/>
      <w:r>
        <w:rPr>
          <w:rFonts w:ascii="宋体" w:hAnsi="宋体" w:cs="宋体"/>
          <w:b/>
          <w:bCs/>
        </w:rPr>
        <w:t>2、薪酬政策</w:t>
      </w:r>
      <w:bookmarkEnd w:id="76"/>
    </w:p>
    <w:p w:rsidR="000C39A3" w:rsidRDefault="000C39A3">
      <w:pPr>
        <w:pStyle w:val="a4"/>
        <w:spacing w:before="0" w:beforeAutospacing="0" w:after="0" w:afterAutospacing="0" w:line="360" w:lineRule="auto"/>
        <w:ind w:firstLine="420"/>
        <w:jc w:val="both"/>
        <w:divId w:val="443580057"/>
        <w:rPr>
          <w:rFonts w:ascii="Times New Roman" w:hAnsi="Times New Roman" w:cs="Times New Roman"/>
          <w:sz w:val="18"/>
          <w:szCs w:val="18"/>
        </w:rPr>
      </w:pPr>
      <w:r>
        <w:rPr>
          <w:rFonts w:cs="Times New Roman" w:hint="eastAsia"/>
          <w:sz w:val="21"/>
          <w:szCs w:val="21"/>
        </w:rPr>
        <w:t>公司按照《中华人民共和国劳动法》等相关法律法规及地方性劳动政策的规定，实行全员劳动合同制，建立了社会保险制度，按期为员工缴纳养老保险、医疗保险、工伤保险、生育保险和失业保险，并提供有竞争力的薪酬，实施公平的员工绩效考核机制。</w:t>
      </w:r>
    </w:p>
    <w:p w:rsidR="0080594E" w:rsidRDefault="000C39A3">
      <w:pPr>
        <w:pStyle w:val="3"/>
        <w:spacing w:line="280" w:lineRule="exact"/>
        <w:jc w:val="left"/>
        <w:rPr>
          <w:rFonts w:ascii="宋体" w:hAnsi="宋体" w:cs="宋体"/>
          <w:b/>
          <w:bCs/>
        </w:rPr>
      </w:pPr>
      <w:bookmarkStart w:id="77" w:name="_Toc988965"/>
      <w:r>
        <w:rPr>
          <w:rFonts w:ascii="宋体" w:hAnsi="宋体" w:cs="宋体"/>
          <w:b/>
          <w:bCs/>
        </w:rPr>
        <w:t>3、培训计划</w:t>
      </w:r>
      <w:bookmarkEnd w:id="77"/>
    </w:p>
    <w:p w:rsidR="000C39A3" w:rsidRDefault="000C39A3">
      <w:pPr>
        <w:pStyle w:val="a4"/>
        <w:spacing w:before="0" w:beforeAutospacing="0" w:after="0" w:afterAutospacing="0" w:line="360" w:lineRule="auto"/>
        <w:ind w:firstLine="420"/>
        <w:jc w:val="both"/>
        <w:divId w:val="1391343154"/>
        <w:rPr>
          <w:rFonts w:ascii="Times New Roman" w:hAnsi="Times New Roman" w:cs="Times New Roman"/>
          <w:sz w:val="18"/>
          <w:szCs w:val="18"/>
        </w:rPr>
      </w:pPr>
      <w:r>
        <w:rPr>
          <w:rFonts w:cs="Times New Roman" w:hint="eastAsia"/>
          <w:sz w:val="21"/>
          <w:szCs w:val="21"/>
        </w:rPr>
        <w:t>公司致力于打造全方位的人才培养体系以及健全的制度流程。通过持续提高员工的综合能力、建立基本功扎实的各级人才梯队，以此提升组织能力，支撑公司业务快速成长及战略目标的达成。</w:t>
      </w:r>
    </w:p>
    <w:p w:rsidR="000C39A3" w:rsidRDefault="000C39A3">
      <w:pPr>
        <w:pStyle w:val="a4"/>
        <w:spacing w:before="0" w:beforeAutospacing="0" w:after="0" w:afterAutospacing="0" w:line="360" w:lineRule="auto"/>
        <w:ind w:firstLine="420"/>
        <w:jc w:val="both"/>
        <w:divId w:val="1391343154"/>
        <w:rPr>
          <w:rFonts w:ascii="Times New Roman" w:hAnsi="Times New Roman" w:cs="Times New Roman"/>
          <w:sz w:val="18"/>
          <w:szCs w:val="18"/>
        </w:rPr>
      </w:pPr>
      <w:r>
        <w:rPr>
          <w:rFonts w:cs="Times New Roman" w:hint="eastAsia"/>
          <w:sz w:val="21"/>
          <w:szCs w:val="21"/>
        </w:rPr>
        <w:lastRenderedPageBreak/>
        <w:t>公司培训体系主要有专业技能、领导力培训、管理技能、通用技能、认证课程培训。公司积极推动知识与技能的沉淀，建立了完善的内训师管理与激励制度，致力于自主开发学习资源，鼓励员工自我学习，自我提升。</w:t>
      </w:r>
    </w:p>
    <w:p w:rsidR="0080594E" w:rsidRDefault="000C39A3">
      <w:pPr>
        <w:pStyle w:val="3"/>
        <w:spacing w:line="280" w:lineRule="exact"/>
        <w:jc w:val="left"/>
        <w:rPr>
          <w:rFonts w:ascii="宋体" w:hAnsi="宋体" w:cs="宋体"/>
          <w:b/>
          <w:bCs/>
        </w:rPr>
      </w:pPr>
      <w:bookmarkStart w:id="78" w:name="_Toc988966"/>
      <w:r>
        <w:rPr>
          <w:rFonts w:ascii="宋体" w:hAnsi="宋体" w:cs="宋体"/>
          <w:b/>
          <w:bCs/>
        </w:rPr>
        <w:t>4、劳务外包情况</w:t>
      </w:r>
      <w:bookmarkEnd w:id="78"/>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79" w:name="_Toc988967"/>
      <w:r>
        <w:rPr>
          <w:rFonts w:ascii="宋体" w:eastAsia="宋体" w:hAnsi="宋体" w:cs="宋体"/>
          <w:b/>
          <w:bCs/>
          <w:sz w:val="24"/>
          <w:szCs w:val="24"/>
        </w:rPr>
        <w:t>十二、公司利润分配及资本公积金转增股本情况</w:t>
      </w:r>
      <w:bookmarkEnd w:id="79"/>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报告期内利润分配政策，特别是现金分红政策的制定、执行或调整情况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divId w:val="1185753869"/>
        <w:rPr>
          <w:sz w:val="18"/>
          <w:szCs w:val="18"/>
        </w:rPr>
      </w:pPr>
      <w:r>
        <w:rPr>
          <w:rFonts w:hint="eastAsia"/>
          <w:sz w:val="18"/>
          <w:szCs w:val="18"/>
        </w:rPr>
        <w:t>  报告期内，公司严格按照《公司章程》相关利润分配政策审议和实施利润分配方案，分红标准和比例明确清晰，相关的决策程序和机制完备，利润分配方案审议通过后在规定时间内进行实施，保证了全体股东的利益。</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现金分红政策的专项说明</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是否符合公司章程的规定或股东大会决议的要求：</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分红标准和比例是否明确和清晰：</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相关的决策程序和机制是否完备：</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独立董事是否履职尽责并发挥了应有的作用：</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中小股东是否有充分表达意见和诉求的机会，其合法权益是否得到了充分保护：</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现金分红政策进行调整或变更的，条件及程序是否合规、透明：</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公司报告期利润分配预案及资本公积金转增股本预案与公司章程和分红管理办法等的相关规定一致</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 □不适用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公司报告期利润分配预案及资本公积金转增股本预案符合公司章程等的相关规定。</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本年度利润分配及资本公积金转增股本情况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每10股送红股数（股）</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每10股派息数（元）（含税）</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每10股转增数（股）</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分配预案的股本基数（股）</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现金分红金额（元）（含税）</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56,836,800.00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以其他方式（如回购股份）现金分红金额（元）</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现金分红总额（含其他方式）（元）</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56,836,800.00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可分配利润（元）</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362,224,842.54</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现金分红总额（含其他方式）占利润分配总额的比例</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80594E">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本次现金分红情况</w:t>
            </w:r>
          </w:p>
        </w:tc>
      </w:tr>
      <w:tr w:rsidR="0080594E">
        <w:trPr>
          <w:trHeight w:val="240"/>
        </w:trPr>
        <w:tc>
          <w:tcPr>
            <w:tcW w:w="9639"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公司发展阶段属成长期且有重大资金支出安排的，进行利润分配时，现金分红在本次利润分配中所占比例最低应达到20％</w:t>
            </w:r>
          </w:p>
        </w:tc>
      </w:tr>
      <w:tr w:rsidR="0080594E">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利润分配或资本公积金转增预案的详细情况说明</w:t>
            </w:r>
          </w:p>
        </w:tc>
      </w:tr>
      <w:tr w:rsidR="0080594E">
        <w:trPr>
          <w:trHeight w:val="240"/>
        </w:trPr>
        <w:tc>
          <w:tcPr>
            <w:tcW w:w="9639"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rsidP="00763E1E">
            <w:pPr>
              <w:spacing w:line="240" w:lineRule="exact"/>
              <w:jc w:val="both"/>
              <w:rPr>
                <w:rFonts w:ascii="宋体" w:eastAsia="宋体" w:hAnsi="宋体" w:cs="宋体"/>
                <w:sz w:val="18"/>
                <w:szCs w:val="18"/>
              </w:rPr>
            </w:pPr>
            <w:r>
              <w:rPr>
                <w:rFonts w:ascii="宋体" w:eastAsia="宋体" w:hAnsi="宋体" w:cs="宋体"/>
                <w:sz w:val="18"/>
                <w:szCs w:val="18"/>
              </w:rPr>
              <w:t>经容诚会计师事务所（特殊普通合伙）审计，2022年度，公司实现净利润159,782,620.10元，提取法定盈余公积15,978,262.01元，加上年初未分配利润294,202,884.45 元，截至2022年12月31日，可供分配利润为</w:t>
            </w:r>
            <w:r>
              <w:rPr>
                <w:rFonts w:ascii="宋体" w:eastAsia="宋体" w:hAnsi="宋体" w:cs="宋体"/>
                <w:sz w:val="18"/>
                <w:szCs w:val="18"/>
              </w:rPr>
              <w:lastRenderedPageBreak/>
              <w:t>362,224,842.54元。根据公司整体发展战略和实际经营情况，同时给投资者以持续回报，遵照中国证监会和深圳证券交易所相关规定，公司董事会拟定2022年度利润分配预案：以总股本378,912,000股为基数，向全体股东每10股派发现金股利人民币1.50元（含税），合计派发现金红利人民币56,836,800.00元（含税），不进行资本公积转增股本，不送红股，剩余未分配利润结转以后年度分配。在利润分配预案披露日至实施权益分派股权登记日期间，公司股本总额若发生变化，公司将维持每股分配比例不变，相应调整分配总额。 该预案经2023年4月21日召开第三届董事会第四次会议、第三届监事会第四次会议审议通过，审议程序符合《公司法》《公司章程》等相关规定，预案具备合法、合规、合理性，不存在损害中小股东权益的情形，有利于公司的长远发展。全体独立董事发表了同意的独立意见。该预案还需提交2022年年度股东大会审议。</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公司报告期内盈利且母公司可供股东分配利润为正但未提出现金红利分配预案</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80" w:name="_Toc988968"/>
      <w:r>
        <w:rPr>
          <w:rFonts w:ascii="宋体" w:eastAsia="宋体" w:hAnsi="宋体" w:cs="宋体"/>
          <w:b/>
          <w:bCs/>
          <w:sz w:val="24"/>
          <w:szCs w:val="24"/>
        </w:rPr>
        <w:t>十三、公司股权激励计划、员工持股计划或其他员工激励措施的实施情况</w:t>
      </w:r>
      <w:bookmarkEnd w:id="80"/>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公司报告期无股权激励计划、员工持股计划或其他员工激励措施及其实施情况。</w:t>
      </w:r>
    </w:p>
    <w:p w:rsidR="0080594E" w:rsidRDefault="000C39A3">
      <w:pPr>
        <w:pStyle w:val="2"/>
        <w:spacing w:before="300" w:after="300" w:line="320" w:lineRule="exact"/>
        <w:rPr>
          <w:rFonts w:ascii="宋体" w:eastAsia="宋体" w:hAnsi="宋体" w:cs="宋体"/>
          <w:b/>
          <w:bCs/>
          <w:sz w:val="24"/>
          <w:szCs w:val="24"/>
        </w:rPr>
      </w:pPr>
      <w:bookmarkStart w:id="81" w:name="_Toc988969"/>
      <w:r>
        <w:rPr>
          <w:rFonts w:ascii="宋体" w:eastAsia="宋体" w:hAnsi="宋体" w:cs="宋体"/>
          <w:b/>
          <w:bCs/>
          <w:sz w:val="24"/>
          <w:szCs w:val="24"/>
        </w:rPr>
        <w:t>十四、报告期内的内部控制制度建设及实施情况</w:t>
      </w:r>
      <w:bookmarkEnd w:id="81"/>
    </w:p>
    <w:p w:rsidR="0080594E" w:rsidRDefault="000C39A3">
      <w:pPr>
        <w:pStyle w:val="3"/>
        <w:spacing w:line="280" w:lineRule="exact"/>
        <w:jc w:val="left"/>
        <w:rPr>
          <w:rFonts w:ascii="宋体" w:hAnsi="宋体" w:cs="宋体"/>
          <w:b/>
          <w:bCs/>
        </w:rPr>
      </w:pPr>
      <w:bookmarkStart w:id="82" w:name="_Toc988970"/>
      <w:r>
        <w:rPr>
          <w:rFonts w:ascii="宋体" w:hAnsi="宋体" w:cs="宋体"/>
          <w:b/>
          <w:bCs/>
        </w:rPr>
        <w:t>1、内部控制建设及实施情况</w:t>
      </w:r>
      <w:bookmarkEnd w:id="82"/>
    </w:p>
    <w:p w:rsidR="000C39A3" w:rsidRDefault="000C39A3">
      <w:pPr>
        <w:pStyle w:val="a4"/>
        <w:spacing w:before="0" w:beforeAutospacing="0" w:after="0" w:afterAutospacing="0" w:line="360" w:lineRule="auto"/>
        <w:ind w:firstLine="420"/>
        <w:jc w:val="both"/>
        <w:divId w:val="337392126"/>
        <w:rPr>
          <w:rFonts w:ascii="Times New Roman" w:hAnsi="Times New Roman" w:cs="Times New Roman"/>
          <w:sz w:val="18"/>
          <w:szCs w:val="18"/>
        </w:rPr>
      </w:pPr>
      <w:r>
        <w:rPr>
          <w:rFonts w:cs="Times New Roman" w:hint="eastAsia"/>
          <w:sz w:val="21"/>
          <w:szCs w:val="21"/>
        </w:rPr>
        <w:t>公司根据《企业内部控制基本规范》及其配套指引的规定和其他内部控制监管要求，结合公司内部控制制度和评价办法，在内部控制日常监督和专项监督的基础上，坚持以风险导向为原则，对公司内部控制体系进行持续的改进及优化，以适应不断变化的外部环境及内部管理的要求。公司通过内部控制体系的运行、分析与评价，有效防范了经营管理中的风险，促进了内部控制目标的实现。</w:t>
      </w:r>
    </w:p>
    <w:p w:rsidR="000C39A3" w:rsidRDefault="000C39A3">
      <w:pPr>
        <w:pStyle w:val="a4"/>
        <w:spacing w:before="0" w:beforeAutospacing="0" w:after="0" w:afterAutospacing="0" w:line="360" w:lineRule="auto"/>
        <w:ind w:firstLine="420"/>
        <w:jc w:val="both"/>
        <w:divId w:val="337392126"/>
        <w:rPr>
          <w:rFonts w:ascii="Times New Roman" w:hAnsi="Times New Roman" w:cs="Times New Roman"/>
          <w:sz w:val="18"/>
          <w:szCs w:val="18"/>
        </w:rPr>
      </w:pPr>
      <w:r>
        <w:rPr>
          <w:rFonts w:cs="Times New Roman" w:hint="eastAsia"/>
          <w:sz w:val="21"/>
          <w:szCs w:val="21"/>
        </w:rPr>
        <w:t>根据公司内部控制重大缺陷的认定情况，于内部控制评价报告基准日，不存在财务报告内部控制重大缺陷。公司已按照企业内部控制规范体系和相关规定的要求在所有重大方面保持了有效的财务报告内部控制。</w:t>
      </w:r>
    </w:p>
    <w:p w:rsidR="000C39A3" w:rsidRDefault="000C39A3">
      <w:pPr>
        <w:pStyle w:val="a4"/>
        <w:spacing w:before="0" w:beforeAutospacing="0" w:after="0" w:afterAutospacing="0" w:line="360" w:lineRule="auto"/>
        <w:ind w:firstLine="420"/>
        <w:jc w:val="both"/>
        <w:divId w:val="337392126"/>
        <w:rPr>
          <w:rFonts w:ascii="Times New Roman" w:hAnsi="Times New Roman" w:cs="Times New Roman"/>
          <w:sz w:val="18"/>
          <w:szCs w:val="18"/>
        </w:rPr>
      </w:pPr>
      <w:r>
        <w:rPr>
          <w:rFonts w:cs="Times New Roman" w:hint="eastAsia"/>
          <w:sz w:val="21"/>
          <w:szCs w:val="21"/>
        </w:rPr>
        <w:t>根据公司非财务报告内部控制重大缺陷认定情况，于内部控制评价报告基准日，公司未发现非财务报告内部控制重大缺陷。</w:t>
      </w:r>
    </w:p>
    <w:p w:rsidR="0080594E" w:rsidRDefault="000C39A3">
      <w:pPr>
        <w:pStyle w:val="3"/>
        <w:spacing w:line="280" w:lineRule="exact"/>
        <w:jc w:val="left"/>
        <w:rPr>
          <w:rFonts w:ascii="宋体" w:hAnsi="宋体" w:cs="宋体"/>
          <w:b/>
          <w:bCs/>
        </w:rPr>
      </w:pPr>
      <w:bookmarkStart w:id="83" w:name="_Toc988971"/>
      <w:r>
        <w:rPr>
          <w:rFonts w:ascii="宋体" w:hAnsi="宋体" w:cs="宋体"/>
          <w:b/>
          <w:bCs/>
        </w:rPr>
        <w:t>2、报告期内发现的内部控制重大缺陷的具体情况</w:t>
      </w:r>
      <w:bookmarkEnd w:id="83"/>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pStyle w:val="2"/>
        <w:spacing w:before="300" w:after="300" w:line="320" w:lineRule="exact"/>
        <w:rPr>
          <w:rFonts w:ascii="宋体" w:eastAsia="宋体" w:hAnsi="宋体" w:cs="宋体"/>
          <w:b/>
          <w:bCs/>
          <w:sz w:val="24"/>
          <w:szCs w:val="24"/>
        </w:rPr>
      </w:pPr>
      <w:bookmarkStart w:id="84" w:name="_Toc988972"/>
      <w:r>
        <w:rPr>
          <w:rFonts w:ascii="宋体" w:eastAsia="宋体" w:hAnsi="宋体" w:cs="宋体"/>
          <w:b/>
          <w:bCs/>
          <w:sz w:val="24"/>
          <w:szCs w:val="24"/>
        </w:rPr>
        <w:t>十五、公司报告期内对子公司的管理控制情况</w:t>
      </w:r>
      <w:bookmarkEnd w:id="8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公司名称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整合计划</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整合进展</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整合中遇到的问题</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已采取的解决措施</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解决进展</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后续解决计划</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pStyle w:val="2"/>
        <w:spacing w:before="300" w:after="300" w:line="320" w:lineRule="exact"/>
        <w:rPr>
          <w:rFonts w:ascii="宋体" w:eastAsia="宋体" w:hAnsi="宋体" w:cs="宋体"/>
          <w:b/>
          <w:bCs/>
          <w:sz w:val="24"/>
          <w:szCs w:val="24"/>
        </w:rPr>
      </w:pPr>
      <w:bookmarkStart w:id="85" w:name="_Toc988973"/>
      <w:r>
        <w:rPr>
          <w:rFonts w:ascii="宋体" w:eastAsia="宋体" w:hAnsi="宋体" w:cs="宋体"/>
          <w:b/>
          <w:bCs/>
          <w:sz w:val="24"/>
          <w:szCs w:val="24"/>
        </w:rPr>
        <w:lastRenderedPageBreak/>
        <w:t>十六、内部控制自我评价报告或内部控制审计报告</w:t>
      </w:r>
      <w:bookmarkEnd w:id="85"/>
    </w:p>
    <w:p w:rsidR="0080594E" w:rsidRDefault="000C39A3">
      <w:pPr>
        <w:pStyle w:val="3"/>
        <w:spacing w:line="280" w:lineRule="exact"/>
        <w:jc w:val="left"/>
        <w:rPr>
          <w:rFonts w:ascii="宋体" w:hAnsi="宋体" w:cs="宋体"/>
          <w:b/>
          <w:bCs/>
        </w:rPr>
      </w:pPr>
      <w:bookmarkStart w:id="86" w:name="_Toc988974"/>
      <w:r>
        <w:rPr>
          <w:rFonts w:ascii="宋体" w:hAnsi="宋体" w:cs="宋体"/>
          <w:b/>
          <w:bCs/>
        </w:rPr>
        <w:t>1、内控自我评价报告</w:t>
      </w:r>
      <w:bookmarkEnd w:id="86"/>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内部控制评价报告全文披露日期</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2023年04月25日</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内部控制评价报告全文披露索引</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巨潮资讯网（ http://www.cninfo.com.cn）</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纳入评价范围单位资产总额占公司合并财务报表资产总额的比例</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纳入评价范围单位营业收入占公司合并财务报表营业收入的比例</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80594E">
        <w:trPr>
          <w:trHeight w:val="240"/>
        </w:trPr>
        <w:tc>
          <w:tcPr>
            <w:tcW w:w="963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缺陷认定标准</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财务报告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非财务报告</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定性标准</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重大缺陷：是指一个或多个控制缺陷的组合，可能导致企业严重偏离控制目标。发生重大缺陷的迹象包括：（1）控制环境无效；（2）公司董事、监事和高级管理人员舞弊并给企业造成重大损失和不利影响；（3）注册会计师发现当期财务报告存在重大错报，而内部控制在运行过程中未能发现该错报；（4）已经发现并报告给管理层的重要缺陷在合理的时间内未加以改正；（5）审计委员会和内部审计部对公司的内部控制监督无效； 重要缺陷：是指一个或多个控制缺陷的组合，其严重程度和经济后果低于重大缺陷但仍有可能导致企业偏离控制目标。出现以下特征的，认定为存在财务报告内部控制重要缺陷：（1）未依照公认会计准则选择和应用会计政策；（2）未建立反舞弊程序和控制措施；（3）对于期末财务报告过程的控制存在一项或多项缺陷且不能合理保证编制的财务报表达到真实、完整的目标。</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一般缺陷：是指除重大缺陷和重要缺陷之外的其他控制缺陷。</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重大缺陷：（1）公司存在重大资产被私人占用的行为；（2）公司存在严重违反国家税收、法律法规受到处罚的情况；（3）公司存在中高级管理人员或高级技术人员普遍流失的情况；（4）公司存在内部控制重大缺陷未得到整改的情况；（5）公司出现严重质量、环境与职业健康安全事件。 重要缺陷：（1）公司存在大额资产运用失效的行为；（2）公司关键经营业务存在缺乏控制标准或标准失效的情况；（3）公司存在内部控制重要的缺陷未得到整改的情况；（4）公司出现重要的质量、环境与职业健康安全事件；（5）公司管理层存在重要越权行为。 一般缺陷：是指除重大缺陷和重要缺陷之外的其他控制缺陷。</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定量标准</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重大缺陷：错报金额&gt;合并报表最近一个会计年度经审计资产总额5% 、错报金额&gt;合并报表最近一个会计年度经审计收入总额5% 。重要缺陷：合并报表最近一个会计年度经审计资产总额3% &lt;错报金额≤合并报表最近一个会计年度经审计资产总额5% 、合并报表最近一个会计年度经审计收入总额3% &lt;错报金额≤合并报表最近一个会计年度经审计收入总额5% 。 一般缺陷：错报金额≤合并报表最近一个会计年度经审计资产总额3% 、错报金额≤合并报表最近一个会计年度经审计收入总额3%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重大缺陷：直接损失金额&gt;合并报表最近一期经审计营业收入的3%。重要缺陷：合并报表最近一期经审计营业收入的1%&lt;直接损失金额≤合并报表最近一期经审计营业收入的3%。一般缺陷：直接损失金额≤合并报表最近一期经审计营业收入的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财务报告重大缺陷数量（个）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非财务报告重大缺陷数量（个）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财务报告重要缺陷数量（个）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非财务报告重要缺陷数量（个）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bl>
    <w:p w:rsidR="0080594E" w:rsidRDefault="000C39A3">
      <w:pPr>
        <w:pStyle w:val="3"/>
        <w:spacing w:line="280" w:lineRule="exact"/>
        <w:jc w:val="left"/>
        <w:rPr>
          <w:rFonts w:ascii="宋体" w:hAnsi="宋体" w:cs="宋体"/>
          <w:b/>
          <w:bCs/>
        </w:rPr>
      </w:pPr>
      <w:bookmarkStart w:id="87" w:name="_Toc988975"/>
      <w:r>
        <w:rPr>
          <w:rFonts w:ascii="宋体" w:hAnsi="宋体" w:cs="宋体"/>
          <w:b/>
          <w:bCs/>
        </w:rPr>
        <w:t>2、内部控制审计报告或鉴证报告</w:t>
      </w:r>
      <w:bookmarkEnd w:id="87"/>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88" w:name="_Toc988976"/>
      <w:r>
        <w:rPr>
          <w:rFonts w:ascii="宋体" w:eastAsia="宋体" w:hAnsi="宋体" w:cs="宋体"/>
          <w:b/>
          <w:bCs/>
          <w:sz w:val="24"/>
          <w:szCs w:val="24"/>
        </w:rPr>
        <w:t>十七、上市公司治理专项行动自查问题整改情况</w:t>
      </w:r>
      <w:bookmarkEnd w:id="88"/>
    </w:p>
    <w:p w:rsidR="000C39A3" w:rsidRDefault="000C39A3">
      <w:pPr>
        <w:pStyle w:val="a4"/>
        <w:divId w:val="1663393371"/>
        <w:rPr>
          <w:sz w:val="18"/>
          <w:szCs w:val="18"/>
        </w:rPr>
      </w:pPr>
      <w:r>
        <w:rPr>
          <w:rFonts w:hint="eastAsia"/>
          <w:sz w:val="18"/>
          <w:szCs w:val="18"/>
        </w:rPr>
        <w:t>不适用。</w:t>
      </w:r>
    </w:p>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89" w:name="_Toc988977"/>
      <w:r>
        <w:rPr>
          <w:rFonts w:ascii="宋体" w:eastAsia="宋体" w:hAnsi="宋体" w:cs="宋体"/>
          <w:b/>
          <w:bCs/>
          <w:sz w:val="32"/>
          <w:szCs w:val="32"/>
        </w:rPr>
        <w:lastRenderedPageBreak/>
        <w:t>第五节 环境和社会责任</w:t>
      </w:r>
      <w:bookmarkEnd w:id="89"/>
    </w:p>
    <w:p w:rsidR="0080594E" w:rsidRDefault="000C39A3">
      <w:pPr>
        <w:pStyle w:val="2"/>
        <w:spacing w:before="300" w:after="300" w:line="320" w:lineRule="exact"/>
        <w:rPr>
          <w:rFonts w:ascii="宋体" w:eastAsia="宋体" w:hAnsi="宋体" w:cs="宋体"/>
          <w:b/>
          <w:bCs/>
          <w:sz w:val="24"/>
          <w:szCs w:val="24"/>
        </w:rPr>
      </w:pPr>
      <w:bookmarkStart w:id="90" w:name="_Toc988978"/>
      <w:r>
        <w:rPr>
          <w:rFonts w:ascii="宋体" w:eastAsia="宋体" w:hAnsi="宋体" w:cs="宋体"/>
          <w:b/>
          <w:bCs/>
          <w:sz w:val="24"/>
          <w:szCs w:val="24"/>
        </w:rPr>
        <w:t>一、重大环保问题</w:t>
      </w:r>
      <w:bookmarkEnd w:id="9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上市公司及其子公司是否属于环境保护部门公布的重点排污单位</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环境保护相关政策和行业标准</w:t>
      </w:r>
    </w:p>
    <w:p w:rsidR="000C39A3" w:rsidRDefault="000C39A3">
      <w:pPr>
        <w:pStyle w:val="a4"/>
        <w:divId w:val="1786462811"/>
        <w:rPr>
          <w:sz w:val="18"/>
          <w:szCs w:val="18"/>
        </w:rPr>
      </w:pPr>
      <w:r>
        <w:rPr>
          <w:rFonts w:hint="eastAsia"/>
          <w:sz w:val="18"/>
          <w:szCs w:val="18"/>
        </w:rPr>
        <w:t>《中华人民共和国环境保护法》（第9号）、《中华人民共和国环境保护税法》、《排污许可管理条例》（第736号）、《中华人民共和国水污架防治法》、《厦门市水污染物排放控制标准》（DB35/322-2018）、《中华人民共和国大气污染防治法》、《厦门市大气污染物排放控制标准》（DB35/323-2018）、《中华人民共和国固体废物污染环境防治法》、《危险废物转移管理办法》（ 生态环境部、公安部、交通运输部令 第23号）、《危险化学品目录(2015版)》（第5号）。</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环境保护行政许可情况</w:t>
      </w:r>
    </w:p>
    <w:p w:rsidR="000C39A3" w:rsidRDefault="000C39A3">
      <w:pPr>
        <w:pStyle w:val="a4"/>
        <w:divId w:val="897594929"/>
        <w:rPr>
          <w:sz w:val="18"/>
          <w:szCs w:val="18"/>
        </w:rPr>
      </w:pPr>
      <w:r>
        <w:rPr>
          <w:rFonts w:hint="eastAsia"/>
          <w:sz w:val="18"/>
          <w:szCs w:val="18"/>
        </w:rPr>
        <w:t>公司排污许可证由厦门市同安区生态环境局发证，有效期限自2020年07月29日至2023年07月28日止。</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行业排放标准及生产经营活动中涉及的污染物排放的具体情况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7"/>
        <w:gridCol w:w="877"/>
        <w:gridCol w:w="877"/>
        <w:gridCol w:w="876"/>
        <w:gridCol w:w="876"/>
        <w:gridCol w:w="876"/>
        <w:gridCol w:w="876"/>
        <w:gridCol w:w="876"/>
        <w:gridCol w:w="876"/>
        <w:gridCol w:w="876"/>
        <w:gridCol w:w="876"/>
      </w:tblGrid>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公司或子公司名称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主要污染物及特征污染物的种类</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主要污染物及特征污染物的名称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排放方式</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排放口数量</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排放口分布情况</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排放浓度/强度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执行的污染物排放标准</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排放总量</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核定的排放总量</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超标排放情况</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废水</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化学需氧量、氨氮</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处理达标后排放</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污水处理站废水排放口</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PH值：6-9；</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悬浮物：＜400mg/L；</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化学需氧量：＜500mg/L；</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五日生化需氧量：＜300mg/L；</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氨氮：＜45mg/L；</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总氮：＜70mg/L；</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石油类：＜</w:t>
            </w:r>
            <w:r>
              <w:rPr>
                <w:rFonts w:ascii="宋体" w:eastAsia="宋体" w:hAnsi="宋体" w:cs="宋体"/>
                <w:sz w:val="18"/>
                <w:szCs w:val="18"/>
              </w:rPr>
              <w:lastRenderedPageBreak/>
              <w:t>30mg/L；</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阴离子表面活性剂：＜20mg/L</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“氨氮”、“总氮”标准限值参考GB/T31962-2015污水排入城镇下水道水质标准表1（B级）；其余标准限值参考GB8978-1996污水综合排放标准</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表2（三级标准）</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悬浮物：0.1585t/a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化学需氧量：0.3405t/a；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五日生化需氧量：0.0417t/a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氨氮：0.009t/a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总氮：0.1498t/a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石油类：0.0021t/a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阴离子表面活性剂：</w:t>
            </w:r>
            <w:r>
              <w:rPr>
                <w:rFonts w:ascii="宋体" w:eastAsia="宋体" w:hAnsi="宋体" w:cs="宋体"/>
                <w:sz w:val="18"/>
                <w:szCs w:val="18"/>
              </w:rPr>
              <w:lastRenderedPageBreak/>
              <w:t>0.0012t/a</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化学需氧量：0.5477t/a；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氨氮：0.0275t/a</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废气</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二氧化硫、氮氧化物</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处理达标后排放</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有机废气排放口</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苯：＜1mg/m³；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甲苯：＜3mg/m³；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二甲苯：＜12mg/m³；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非甲烷总烃：＜40mg/m³；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颗粒物：＜30mg/m³；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苯系物：＜30mg/m³；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乙酸乙酯：＜50mg/m³；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二氧化硫：＜200mg/m³；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氮氧化物：＜200mg/m³；</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烟气黑度：＜1级</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苯、甲苯、二甲苯、非甲烷总烃执行(厦门市大气污染物排放标准》(DB35/323-2018)表2工业涂装工序排放限值标准。二氧化硫、氮氧化物执行《厦门市大气污染物排放标准》(DB35/323-2018)表1排放限值标准烟气黑度执行《工业炉窑大气污染物排放标准》(GB9078-1996)表2干燥炉、窑二级标准。颗粒物执行《厦门市大气污染物</w:t>
            </w:r>
            <w:r>
              <w:rPr>
                <w:rFonts w:ascii="宋体" w:eastAsia="宋体" w:hAnsi="宋体" w:cs="宋体"/>
                <w:sz w:val="18"/>
                <w:szCs w:val="18"/>
              </w:rPr>
              <w:lastRenderedPageBreak/>
              <w:t>排放标准》(DB35/323-2018)表1其他行业标准；苯系物、乙酸乙酯执行《工业涂装工序挥发性有机物排放标准》(DB35/1783-2018)表1涉涂装工序的其它行业标准。</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非甲烷总烃：0.6096t/a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氮氧化物：0.0151t/a，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其余未检出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二氧化硫：0.0302t/a</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氮氧化物：0.4862t/a</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对污染物的处理</w:t>
      </w:r>
    </w:p>
    <w:p w:rsidR="000C39A3" w:rsidRDefault="000C39A3">
      <w:pPr>
        <w:pStyle w:val="a4"/>
        <w:divId w:val="436684020"/>
        <w:rPr>
          <w:sz w:val="18"/>
          <w:szCs w:val="18"/>
        </w:rPr>
      </w:pPr>
      <w:r>
        <w:rPr>
          <w:rFonts w:hint="eastAsia"/>
          <w:sz w:val="18"/>
          <w:szCs w:val="18"/>
        </w:rPr>
        <w:t>报告期内，公司按国家环境保护法律法规及建设项目环境影响评价要求，配备了污水处理站、有机废气处理设施、焊接烟尘收集系统等配套设施，严格遵守环保设施与主体工程同时设计、同时施工、同时投入生产使用的“三同时”要求。报告期内，防治污染设施正常投入使用并稳定运行，污染物达标排放，确保合法合规。公司按照环境保护法律法规要求，做好建设项目环境影响评价工作。报告期内，公司建设项目均严格遵循环境影响评价制度及其他环境保护行政许可制度，符合环境影响评价及其他环境保护行政许可相关要求。</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环境自行监测方案</w:t>
      </w:r>
    </w:p>
    <w:p w:rsidR="000C39A3" w:rsidRDefault="000C39A3">
      <w:pPr>
        <w:pStyle w:val="a4"/>
        <w:divId w:val="1395662524"/>
        <w:rPr>
          <w:sz w:val="18"/>
          <w:szCs w:val="18"/>
        </w:rPr>
      </w:pPr>
      <w:r>
        <w:rPr>
          <w:rFonts w:hint="eastAsia"/>
          <w:sz w:val="18"/>
          <w:szCs w:val="18"/>
        </w:rPr>
        <w:t>报告期内，公司严格按照各级地方政府及相关部门要求制定了环境自行监测方案，购买了污水污染物检测仪，设置污水处理站管理人员，同时定期聘请第三方环保监测公司进行厂区环境监测，按照排污许可证要求的监测项目、频率与第三方有资质机构签订年度委托监测协议，自觉做好环保自行监测工作。</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突发环境事件应急预案</w:t>
      </w:r>
    </w:p>
    <w:p w:rsidR="000C39A3" w:rsidRDefault="000C39A3">
      <w:pPr>
        <w:pStyle w:val="a4"/>
        <w:divId w:val="569775927"/>
        <w:rPr>
          <w:sz w:val="18"/>
          <w:szCs w:val="18"/>
        </w:rPr>
      </w:pPr>
      <w:r>
        <w:rPr>
          <w:rFonts w:hint="eastAsia"/>
          <w:sz w:val="18"/>
          <w:szCs w:val="18"/>
        </w:rPr>
        <w:t>公司重视突发环境事件的应急管理工作。报告期内，公司按照《厦门东亚机械工业股份有限公司突发环境事件应急预案》，进一步加强了各部门的协调联动，各部门均按照公司及地方政府要求制定了对应的突发环境事件应急处置预案，并开展了应急预案演练，确保公司区域内发生的突发环境和生态破坏事件能得到有效处置，将各类突发环境事件的损失和社会危害降低至最低程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环境治理和保护的投入及缴纳环境保护税的相关情况</w:t>
      </w:r>
    </w:p>
    <w:p w:rsidR="000C39A3" w:rsidRDefault="000C39A3">
      <w:pPr>
        <w:pStyle w:val="a4"/>
        <w:divId w:val="386223395"/>
        <w:rPr>
          <w:sz w:val="18"/>
          <w:szCs w:val="18"/>
        </w:rPr>
      </w:pPr>
      <w:r>
        <w:rPr>
          <w:rFonts w:hint="eastAsia"/>
          <w:sz w:val="18"/>
          <w:szCs w:val="18"/>
        </w:rPr>
        <w:t>报告期内，公司共投入环保相关费用5.25万元，并按照相关法律法规要求及时足额缴纳了相应的环境保护税。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在报告期内为减少其碳排放所采取的措施及效果</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divId w:val="1490291536"/>
        <w:rPr>
          <w:sz w:val="18"/>
          <w:szCs w:val="18"/>
        </w:rPr>
      </w:pPr>
      <w:r>
        <w:rPr>
          <w:rFonts w:hint="eastAsia"/>
          <w:sz w:val="18"/>
          <w:szCs w:val="18"/>
        </w:rPr>
        <w:lastRenderedPageBreak/>
        <w:t>报告期内，公司全面强化“三废”综合治理对于生产过程中产生的副产物优先采取资源化综合利用，变废为宝，减少污染物排放；对现有工艺路线、产品和生产设施等进一步优化升级，减少用电消耗。公司始终坚持走绿色低碳高质量可持续发展之路，积极推进各项节能降碳工作。</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报告期内因环境问题受到行政处罚的情况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公司或子公司名称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处罚原因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违规情形</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处罚结果</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对上市公司生产经营的影响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公司的整改措施</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其他应当公开的环境信息</w:t>
      </w:r>
    </w:p>
    <w:p w:rsidR="000C39A3" w:rsidRDefault="000C39A3">
      <w:pPr>
        <w:pStyle w:val="a4"/>
        <w:spacing w:before="0" w:beforeAutospacing="0" w:after="0" w:afterAutospacing="0"/>
        <w:divId w:val="347565466"/>
        <w:rPr>
          <w:rFonts w:ascii="Times New Roman" w:hAnsi="Times New Roman" w:cs="Times New Roman"/>
          <w:sz w:val="18"/>
          <w:szCs w:val="18"/>
        </w:rPr>
      </w:pPr>
      <w:r>
        <w:rPr>
          <w:rFonts w:cs="Times New Roman" w:hint="eastAsia"/>
          <w:sz w:val="18"/>
          <w:szCs w:val="18"/>
        </w:rPr>
        <w:t>无</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其他环保相关信息</w:t>
      </w:r>
    </w:p>
    <w:p w:rsidR="000C39A3" w:rsidRDefault="000C39A3">
      <w:pPr>
        <w:pStyle w:val="a4"/>
        <w:spacing w:before="0" w:beforeAutospacing="0" w:after="0" w:afterAutospacing="0"/>
        <w:divId w:val="1186092039"/>
        <w:rPr>
          <w:rFonts w:ascii="Times New Roman" w:hAnsi="Times New Roman" w:cs="Times New Roman"/>
          <w:sz w:val="18"/>
          <w:szCs w:val="18"/>
        </w:rPr>
      </w:pPr>
      <w:r>
        <w:rPr>
          <w:rFonts w:cs="Times New Roman" w:hint="eastAsia"/>
          <w:sz w:val="18"/>
          <w:szCs w:val="18"/>
        </w:rPr>
        <w:t>无</w:t>
      </w:r>
    </w:p>
    <w:p w:rsidR="0080594E" w:rsidRDefault="000C39A3">
      <w:pPr>
        <w:pStyle w:val="2"/>
        <w:spacing w:before="300" w:after="300" w:line="320" w:lineRule="exact"/>
        <w:rPr>
          <w:rFonts w:ascii="宋体" w:eastAsia="宋体" w:hAnsi="宋体" w:cs="宋体"/>
          <w:b/>
          <w:bCs/>
          <w:sz w:val="24"/>
          <w:szCs w:val="24"/>
        </w:rPr>
      </w:pPr>
      <w:bookmarkStart w:id="91" w:name="_Toc988979"/>
      <w:r>
        <w:rPr>
          <w:rFonts w:ascii="宋体" w:eastAsia="宋体" w:hAnsi="宋体" w:cs="宋体"/>
          <w:b/>
          <w:bCs/>
          <w:sz w:val="24"/>
          <w:szCs w:val="24"/>
        </w:rPr>
        <w:t>二、社会责任情况</w:t>
      </w:r>
      <w:bookmarkEnd w:id="91"/>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公司积极履行企业应尽的义务，承担社会责任。公司在不断为股东创造价值的同时，也积极承担对员工、客户、供应商、社会政府部门等其他利益相关方的责任。</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w:t>
      </w:r>
      <w:r>
        <w:rPr>
          <w:rFonts w:ascii="Times New Roman" w:hAnsi="Times New Roman" w:cs="Times New Roman"/>
        </w:rPr>
        <w:t>1</w:t>
      </w:r>
      <w:r>
        <w:rPr>
          <w:rFonts w:cs="Times New Roman" w:hint="eastAsia"/>
        </w:rPr>
        <w:t>）股东及债权人权益保护</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公司严格按照《公司法》、《证券法》、《深圳证券交易所创业板股票上市规则》等法律法规、部门规章、规范性文件和《公司章程》的规定，依法召开股东大会，积极通过网络投票等方式扩大股东参与股东大会的比例，保障中小股东的权益。</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报告期内，公司积极实施现金分红，确保股东投资回报；不断完善内控体系及治理结构，严格履行信息披露义务，真实、准确、完整、及时、公平地向所有股东披露信息。同时，公司注重投资者关系维护，加强投资者关系管理工作，通过投资者互动平台、电话交流、电子邮件、现场调研等方式与投资者保持良好的沟通，为投资者建立一个良好的互动平台。</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w:t>
      </w:r>
      <w:r>
        <w:rPr>
          <w:rFonts w:ascii="Times New Roman" w:hAnsi="Times New Roman" w:cs="Times New Roman"/>
        </w:rPr>
        <w:t>2</w:t>
      </w:r>
      <w:r>
        <w:rPr>
          <w:rFonts w:cs="Times New Roman" w:hint="eastAsia"/>
        </w:rPr>
        <w:t>）职工权益保护</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公司严格遵守《劳动法》《劳动合同法》等法律、法规和规范性文件的要求，通过与员工签订劳动合同，按时足额发放员工薪酬，依法为员工缴纳养老、失业、医疗、工伤、生育等社会保险和住房公积金，保护员工合法权益；建立完善的人力资源管理体系、员工绩效考核和激励机制，充分调动员工积极性；公司重视企业文化建设，为职工提供完善的福利制度，提高员工的归属感及满意度；公司关注员工的职业发展和人才培养，实现员工与企业的共同成长。公司长期以来一直重视员工的学习与未来职业发展规划，以员工职业</w:t>
      </w:r>
      <w:r>
        <w:rPr>
          <w:rFonts w:cs="Times New Roman" w:hint="eastAsia"/>
        </w:rPr>
        <w:lastRenderedPageBreak/>
        <w:t>生涯规划为主线，为员工提供职业发展的空间与平台，通过多种方式向员工提供培训和学习机会。</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w:t>
      </w:r>
      <w:r>
        <w:rPr>
          <w:rFonts w:ascii="Times New Roman" w:hAnsi="Times New Roman" w:cs="Times New Roman"/>
        </w:rPr>
        <w:t>3</w:t>
      </w:r>
      <w:r>
        <w:rPr>
          <w:rFonts w:cs="Times New Roman" w:hint="eastAsia"/>
        </w:rPr>
        <w:t>）供应商、客户和消费者权益保护</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公司坚持</w:t>
      </w:r>
      <w:r>
        <w:rPr>
          <w:rFonts w:ascii="Times New Roman" w:hAnsi="Times New Roman" w:cs="Times New Roman"/>
        </w:rPr>
        <w:t>“</w:t>
      </w:r>
      <w:r>
        <w:rPr>
          <w:rFonts w:cs="Times New Roman" w:hint="eastAsia"/>
        </w:rPr>
        <w:t>自愿、平等、公平、诚实信用</w:t>
      </w:r>
      <w:r>
        <w:rPr>
          <w:rFonts w:ascii="Times New Roman" w:hAnsi="Times New Roman" w:cs="Times New Roman"/>
        </w:rPr>
        <w:t>”</w:t>
      </w:r>
      <w:r>
        <w:rPr>
          <w:rFonts w:cs="Times New Roman" w:hint="eastAsia"/>
        </w:rPr>
        <w:t>的交易原则，注重与供应商相互促进、共同成长，通过双方在技术、质量、服务商的互相交流与学习实现双方的共同成长、共同发展、互利共赢；公司不断完善供应商体系，不断加强供应商质量意识，强化采购过程的监督，定期对供应商进行合作调查，减少潜在的风险，严把质量关。</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公司为客户提供安全、可靠的产品和优质的服务是公司的一贯追求，通过持续技术创新来满足客户的需求；公司通过提高产品质量和提供更满意的服务，提高客户的满意度和忠诚度。</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w:t>
      </w:r>
      <w:r>
        <w:rPr>
          <w:rFonts w:ascii="Times New Roman" w:hAnsi="Times New Roman" w:cs="Times New Roman"/>
        </w:rPr>
        <w:t>4</w:t>
      </w:r>
      <w:r>
        <w:rPr>
          <w:rFonts w:cs="Times New Roman" w:hint="eastAsia"/>
        </w:rPr>
        <w:t>）重视安全生产</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公司始终把安全生产放在首位，依据国家有关安全生产方面的法律、法规规定，结合公司生产经营的特点和实际需要，建立健全的安全生产管理制度，强化安全措施，保证公司各环节安全生产和规范发展，保障员工生命和公司财产安全，促进经济社会持续健康发展。</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w:t>
      </w:r>
      <w:r>
        <w:rPr>
          <w:rFonts w:ascii="Times New Roman" w:hAnsi="Times New Roman" w:cs="Times New Roman"/>
        </w:rPr>
        <w:t>5</w:t>
      </w:r>
      <w:r>
        <w:rPr>
          <w:rFonts w:cs="Times New Roman" w:hint="eastAsia"/>
        </w:rPr>
        <w:t>）环境保护与可持续发展</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公司严格遵守国家环境保护和节能减排的相关法律、法规、标准和要求，建立健全环境保护管理制度。改进施工工艺和技术，持续推进清洁生产，加强废水等排前管控，减少噪音污染等；加强设备的节能运行管理，科学合理安排设备的生产与保养，降低能耗和其他动力成本；注重员工思想意识培养，定期开展增强保护环境和节能环保的意识宣传教育活动，将绿色环保理念贯彻到每位员工心中，不断强化环保和可持续发展理念，营造良好工作环境。</w:t>
      </w:r>
    </w:p>
    <w:p w:rsidR="000C39A3" w:rsidRDefault="000C39A3">
      <w:pPr>
        <w:pStyle w:val="a4"/>
        <w:spacing w:before="0" w:beforeAutospacing="0" w:after="0" w:afterAutospacing="0" w:line="360" w:lineRule="auto"/>
        <w:ind w:firstLine="480"/>
        <w:jc w:val="both"/>
        <w:divId w:val="654458061"/>
        <w:rPr>
          <w:rFonts w:ascii="Times New Roman" w:hAnsi="Times New Roman" w:cs="Times New Roman"/>
          <w:sz w:val="18"/>
          <w:szCs w:val="18"/>
        </w:rPr>
      </w:pPr>
      <w:r>
        <w:rPr>
          <w:rFonts w:cs="Times New Roman" w:hint="eastAsia"/>
        </w:rPr>
        <w:t>（</w:t>
      </w:r>
      <w:r>
        <w:rPr>
          <w:rFonts w:ascii="Times New Roman" w:hAnsi="Times New Roman" w:cs="Times New Roman"/>
        </w:rPr>
        <w:t>6</w:t>
      </w:r>
      <w:r>
        <w:rPr>
          <w:rFonts w:cs="Times New Roman" w:hint="eastAsia"/>
        </w:rPr>
        <w:t>）社会公益事业</w:t>
      </w:r>
    </w:p>
    <w:p w:rsidR="000C39A3" w:rsidRDefault="000C39A3">
      <w:pPr>
        <w:pStyle w:val="a4"/>
        <w:spacing w:before="0" w:beforeAutospacing="0" w:after="0" w:afterAutospacing="0" w:line="360" w:lineRule="auto"/>
        <w:ind w:firstLine="480"/>
        <w:jc w:val="both"/>
        <w:divId w:val="654458061"/>
      </w:pPr>
      <w:r>
        <w:rPr>
          <w:rFonts w:hint="eastAsia"/>
        </w:rPr>
        <w:t>公司热衷社会公益事业，积极组织各种爱心活动，培养员工回报社会的精神。2022年7月公司向同安区慈善会捐助75万元，支持社会的公益事业发展； 2022年11月，公司向甘肃省临夏广河县捐赠30万元进行精准帮扶，支持该地区《实用技能培训基地》建设开发项目，为巩固拓展脱贫攻坚成果同乡村振兴有效街接工作做出贡献。公司积极发挥企业社会责任感，为国家的公益事业发展贡献微薄之力。</w:t>
      </w:r>
    </w:p>
    <w:p w:rsidR="0080594E" w:rsidRDefault="000C39A3">
      <w:pPr>
        <w:pStyle w:val="2"/>
        <w:spacing w:before="300" w:after="300" w:line="320" w:lineRule="exact"/>
        <w:rPr>
          <w:rFonts w:ascii="宋体" w:eastAsia="宋体" w:hAnsi="宋体" w:cs="宋体"/>
          <w:b/>
          <w:bCs/>
          <w:sz w:val="24"/>
          <w:szCs w:val="24"/>
        </w:rPr>
      </w:pPr>
      <w:bookmarkStart w:id="92" w:name="_Toc988980"/>
      <w:r>
        <w:rPr>
          <w:rFonts w:ascii="宋体" w:eastAsia="宋体" w:hAnsi="宋体" w:cs="宋体"/>
          <w:b/>
          <w:bCs/>
          <w:sz w:val="24"/>
          <w:szCs w:val="24"/>
        </w:rPr>
        <w:lastRenderedPageBreak/>
        <w:t>三、巩固拓展脱贫攻坚成果、乡村振兴的情况</w:t>
      </w:r>
      <w:bookmarkEnd w:id="92"/>
    </w:p>
    <w:p w:rsidR="000C39A3" w:rsidRDefault="000C39A3">
      <w:pPr>
        <w:pStyle w:val="a4"/>
        <w:spacing w:before="0" w:beforeAutospacing="0" w:after="0" w:afterAutospacing="0"/>
        <w:divId w:val="313725504"/>
        <w:rPr>
          <w:rFonts w:ascii="Times New Roman" w:hAnsi="Times New Roman" w:cs="Times New Roman"/>
          <w:sz w:val="18"/>
          <w:szCs w:val="18"/>
        </w:rPr>
      </w:pPr>
      <w:r>
        <w:rPr>
          <w:rFonts w:cs="Times New Roman" w:hint="eastAsia"/>
        </w:rPr>
        <w:t>公司报告期内暂未开展脱贫攻坚、乡村振兴工作，也暂无后续相关计划。</w:t>
      </w:r>
    </w:p>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93" w:name="_Toc988981"/>
      <w:r>
        <w:rPr>
          <w:rFonts w:ascii="宋体" w:eastAsia="宋体" w:hAnsi="宋体" w:cs="宋体"/>
          <w:b/>
          <w:bCs/>
          <w:sz w:val="32"/>
          <w:szCs w:val="32"/>
        </w:rPr>
        <w:lastRenderedPageBreak/>
        <w:t>第六节 重要事项</w:t>
      </w:r>
      <w:bookmarkEnd w:id="93"/>
    </w:p>
    <w:p w:rsidR="0080594E" w:rsidRDefault="000C39A3">
      <w:pPr>
        <w:pStyle w:val="2"/>
        <w:spacing w:before="300" w:after="300" w:line="320" w:lineRule="exact"/>
        <w:rPr>
          <w:rFonts w:ascii="宋体" w:eastAsia="宋体" w:hAnsi="宋体" w:cs="宋体"/>
          <w:b/>
          <w:bCs/>
          <w:sz w:val="24"/>
          <w:szCs w:val="24"/>
        </w:rPr>
      </w:pPr>
      <w:bookmarkStart w:id="94" w:name="_Toc988982"/>
      <w:r>
        <w:rPr>
          <w:rFonts w:ascii="宋体" w:eastAsia="宋体" w:hAnsi="宋体" w:cs="宋体"/>
          <w:b/>
          <w:bCs/>
          <w:sz w:val="24"/>
          <w:szCs w:val="24"/>
        </w:rPr>
        <w:t>一、承诺事项履行情况</w:t>
      </w:r>
      <w:bookmarkEnd w:id="94"/>
    </w:p>
    <w:p w:rsidR="0080594E" w:rsidRDefault="000C39A3">
      <w:pPr>
        <w:pStyle w:val="3"/>
        <w:spacing w:line="280" w:lineRule="exact"/>
        <w:jc w:val="left"/>
        <w:rPr>
          <w:rFonts w:ascii="宋体" w:hAnsi="宋体" w:cs="宋体"/>
          <w:b/>
          <w:bCs/>
        </w:rPr>
      </w:pPr>
      <w:bookmarkStart w:id="95" w:name="_Toc988983"/>
      <w:r>
        <w:rPr>
          <w:rFonts w:ascii="宋体" w:hAnsi="宋体" w:cs="宋体"/>
          <w:b/>
          <w:bCs/>
        </w:rPr>
        <w:t>1、公司实际控制人、股东、关联方、收购人以及公司等承诺相关方在报告期内履行完毕及截至报告期末尚未履行完毕的承诺事项</w:t>
      </w:r>
      <w:bookmarkEnd w:id="95"/>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承诺事由</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承诺方</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承诺类型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承诺内容</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承诺时间</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承诺期限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履行情况</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韩萤焕、韩文浩、罗秀英、韩文翰、韩文欣</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股份限售承诺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（1）在发行人股票上市之日起 36 个月之内,不转让或委托他人管理本人于 本次发行前直接或间接持有的发行人股份，也不由发行人回购本人直接或间接 持有的发行人公开发行股票前已发行的股份。（2）发行人上市后 6 个月内如发行人股票连续 20 个交易日的收盘价均低于发行价,或者上市后 6 个月期末(如该日不是交易 日,则为该日后第一个交易日)收盘价低于发行价,本人持有发行人股票的锁定期限将自动延长 6 个月。若公司上市后发生派息、送股、资本公积转增股本等除权、除息行为的，上述发行价为除权除息后的价格。（3）本人将忠实履行承诺，如本人违反上述承诺或</w:t>
            </w:r>
            <w:r>
              <w:rPr>
                <w:rFonts w:ascii="宋体" w:eastAsia="宋体" w:hAnsi="宋体" w:cs="宋体"/>
                <w:sz w:val="18"/>
                <w:szCs w:val="18"/>
              </w:rPr>
              <w:lastRenderedPageBreak/>
              <w:t>法律强制性规定减持股 票的，本人将在发行人股东大会及中国证监会指定报刊上公开说明未履行的具 体原因并向股东和社会公众投资者道歉，且违规减持发行人股票所得（以下简称 “违规减持所得”）归发行人所有。如本人未将违规减持所得上交发行人，则发行人有权扣留应付本人现金分红中与本人应上交发行人的违规减持所得金额相 等的现金分红。</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2024年7月19日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股份限售承诺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（1）在发行人股票上市之日起 36 个月之内,不转让或委托他人管理本人于 本次发行前直接或间接持有的发行人股份，也不由发行人回购本人直接或间接 持有的发行人公开发行股票前已发行的股份。（2）发行人上市后 6 个月内如公司股票连续 20 个交易日的收盘价均低于发行价,或者上市后 6 个月 期末(如该日不是交易日，则为该日后第一个交易日)收盘价低于发行价,本公司持有发行人股票的锁定期限将</w:t>
            </w:r>
            <w:r>
              <w:rPr>
                <w:rFonts w:ascii="宋体" w:eastAsia="宋体" w:hAnsi="宋体" w:cs="宋体"/>
                <w:sz w:val="18"/>
                <w:szCs w:val="18"/>
              </w:rPr>
              <w:lastRenderedPageBreak/>
              <w:t>自动延长 6 个月。若公司上市后发生派息、送 股、资本公积转增股本等除权、除息行为的,上述发行价为除权除息后的价格。（3）本公司将忠实履行承诺,如本公司违反上述承诺或法律强制性规定减持 股票的,本公司将在发行人股东大会及中国证监会指定报刊上公开说明未履行的 具体原因并向股东和社会公众投资者道歉,且违规减持发行人股票所得(以下简 称“违规减持所得”)归发行人所有。如本公司未将违规减持所得上交发行人, 则发行人有权扣留应付本公司现金分红中与本公司应上交发行人的违规减持所 得金额相等的现金分红。</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2024年 7月19日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厦门惠福资本投资合伙企业（有限合伙）、厦门福瑞高科投资合伙企业（有限合伙）、厦门发富投资合伙企业（有限合伙）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股份限售承诺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（1）在发行人股票上市之日起 12 个月之内,不转让或委托他人管理本企业 于本次发行前直接或间接持有的发行人股份,也不由发行人回购本企业直接或间 接持有的发行人公开发行股票前已发行的股份。（2）本企业将忠实履</w:t>
            </w:r>
            <w:r>
              <w:rPr>
                <w:rFonts w:ascii="宋体" w:eastAsia="宋体" w:hAnsi="宋体" w:cs="宋体"/>
                <w:sz w:val="18"/>
                <w:szCs w:val="18"/>
              </w:rPr>
              <w:lastRenderedPageBreak/>
              <w:t>行承诺,如本企业违反上述承诺或法律强制性规定减持 股票的,本企业将在发行人股东大会及中国证监会指定报刊上公开说明未履行的 具体原因并向股东和社会公众投资者道歉,且违规减持发行人股票所得(以下简 称“违规减持所得”)归发行人所有。如本企业未将违规减持所得上交发行人, 则发行人有权扣留应付本企业现金分红中与本企业应上交发行人的违规减持所 得金额相等的现金分红。</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2022年7月19日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已履行完毕</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韩萤焕、韩文浩、罗秀英、韩文翰、韩文欣</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股份减持承诺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本人所持发行人股票在锁定期满后两年内减持的,其减持价格不低于本次发行并上市时发行人股票的发行价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2026年7月18日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股份减持承诺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本公司所持发行人股票在锁定期满后两年内减持的,其减持价格不低于 本次发行并上市时发行人股票的发行价</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2026年7月18日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股份减持承诺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在上述锁定期满后,本人于担任公司董事、高级管理人员期间内,每年 转让的公司股份不超过本人所持本公司股份总数的 25%,因司法强制执行、</w:t>
            </w:r>
            <w:r>
              <w:rPr>
                <w:rFonts w:ascii="宋体" w:eastAsia="宋体" w:hAnsi="宋体" w:cs="宋体"/>
                <w:sz w:val="18"/>
                <w:szCs w:val="18"/>
              </w:rPr>
              <w:lastRenderedPageBreak/>
              <w:t>继 承、遗赠、依法分割财产等导致股份变动的除外。本人离职后 6 个月内,不转让 本人持有的公司股份。若本人在任期届满前离职的,在本人就任时确定的任期内</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和任期届满后 6 个月内,仍应遵守上述规定。</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分红承诺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为充分保障公司股东的合法权益,为股东提供稳定持续的投资回报，促进股东实现投资收益最大化的实现，公司承诺将严格遵守上市后适用的《公司章程》 以及股东大会审议通过的《厦门东亚机械工业股份有限公司上市后三年分红回报 规划》，实行积极的利润分配政策。根据《公司章程（上市草案）》，公司就本次发行后的利润分配政策承诺如下：（一）公司的利润分配原则      公司的利润分配政策保持连续性和稳定性,同时兼顾公司的长远利益、全体股东的整体利益及公司的可持续发展。公司董事会和股东大会在利润分配政策的决策和</w:t>
            </w:r>
            <w:r>
              <w:rPr>
                <w:rFonts w:ascii="宋体" w:eastAsia="宋体" w:hAnsi="宋体" w:cs="宋体"/>
                <w:sz w:val="18"/>
                <w:szCs w:val="18"/>
              </w:rPr>
              <w:lastRenderedPageBreak/>
              <w:t>论证过程中将充分考虑独立董事和公众投资者的意见。（二）利润分配的形式                   公司可以采取现金、股票或者现金与股票相结合的方式分配利润。利润分配不得超过累计可分配利润的范围，不得损害公司持续经营能力。在有条件的情况下, 公司可以进行中期现金分红。      （三）现金分红的具体条件和比例                 在符合现金分红的条件下，公司应当采取现金分红的方式进行利润分配。符合现金分红的条件为：1、现金分红的具体条件和比例公司在弥补亏损（如有）、提取法定公积金、提取任意公积金（如需）后，除特殊情况外，在当年盈利且累计未分配利润为正的情况下，公司每年度至少进 行一次利润分配，采取的利润分配方式中必须含有现金分配方式。公</w:t>
            </w:r>
            <w:r>
              <w:rPr>
                <w:rFonts w:ascii="宋体" w:eastAsia="宋体" w:hAnsi="宋体" w:cs="宋体"/>
                <w:sz w:val="18"/>
                <w:szCs w:val="18"/>
              </w:rPr>
              <w:lastRenderedPageBreak/>
              <w:t>司每年以现金方式分配的利润不少于当年实现的可供分配利润的 20%，在公司上半年经营活动产生的现金流量净额高于当期实现的净利润时，公司可以进行中期现金分红。 </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前款“特殊情况”是指下列情况之一：（1）公司未来 12 个月内拟对外投资、收购资产或购买设备累计支出达到或 超过公司最近一期经审计净资产的 10%,且超过 5,000 万元（募集资金投资的项目 除外）；（2）公司未来 12 个月内拟对外投资、收购资产或购买设备累计支出达到或 超过公司最近一期经审计总资产的 5%（募集资金投资的项目除外）；（3）审计机构对公司当年度财务报告出具非标准无保留意见的审计报告；（4）分红年度净现金流量为负数,且年底货币资金余额不足以支付现金分红金额的。 2、公司董事会应当综合考虑所处行业特点、发展阶段、自身经营模式、盈利水平以及是否</w:t>
            </w:r>
            <w:r>
              <w:rPr>
                <w:rFonts w:ascii="宋体" w:eastAsia="宋体" w:hAnsi="宋体" w:cs="宋体"/>
                <w:sz w:val="18"/>
                <w:szCs w:val="18"/>
              </w:rPr>
              <w:lastRenderedPageBreak/>
              <w:t>有重大资金支出安排等因素,区分下列情形，提出具体现金分红政策：①公司发展阶段属成熟期且无重大资金支出安排的,进行利润分配时，现金分红在本次利润分配中所占比例最低应达到当年实现的可供分配利润的 80%；②公司发展阶段属成熟期且有重大资金支出安排的,进行利润分配时，现金分红在本次利润分配中所占比例最低应达到当年实现的可供分配利润的 40%；③公司发展阶段属成长期且有重大资金支出安排的,进行利润分配时，现金分红在本次利润分配中所占比例最低应达到当年实现的可供分配利润的 20%。     本章程中的“重大资金支出安排”是指公司在一年内购买资产以及对外投资 等交易涉及的资产总额占公司最近一期经审计总资产 30%以上(包括 30%)的事 项。根据本章程规定，重大资金支出安排应经董事会审议后，提交股东大会表决通</w:t>
            </w:r>
            <w:r>
              <w:rPr>
                <w:rFonts w:ascii="宋体" w:eastAsia="宋体" w:hAnsi="宋体" w:cs="宋体"/>
                <w:sz w:val="18"/>
                <w:szCs w:val="18"/>
              </w:rPr>
              <w:lastRenderedPageBreak/>
              <w:t>过。公司在经营情况良好，并且董事会认为发放股票股利有利于公司全体股东整体利益时，可以在满足上述现金分红的条件下，提出股票股利分配预案，并提交股东大会审议。      （四）利润分配的时间间隔                     公司原则上采取年度利润分配政策，公司董事会可根据公司的发展规划、盈利状况、现金流及资金需求计划提出中期利润分配预案，并经临时股东大会审议通过后实施。 </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（五）存在股东违规占用公司资金情况的，公司应当扣减该股东所分配的现金红利,以偿还其占用的资金。（六）利润分配的决策程序与机制                      1、董事会审议利润分配需履行的程序和要求：公司在进行利润分配时，公 司董事会应当制定利润分配预案。董事会审</w:t>
            </w:r>
            <w:r>
              <w:rPr>
                <w:rFonts w:ascii="宋体" w:eastAsia="宋体" w:hAnsi="宋体" w:cs="宋体"/>
                <w:sz w:val="18"/>
                <w:szCs w:val="18"/>
              </w:rPr>
              <w:lastRenderedPageBreak/>
              <w:t>议现金分红具体方案时，应当认真研究和论证公司现金分红的时机、条件和最低比例、调整的条件、决策程序等事宜， 独立董事应当发表明确意见。利润分配预案经董事会过半数以上表决通过,方可提交股东大会审议。2、独立董事可以征集中小股东的意见,提出分红提案，并直接提交董事会审议。3、监事会审议利润分配需履行的程序和要求：公司监事会应当对公司利润分配预案进行审议，并经半数以上监事表决通过。4、股东大会审议利润分配方案需履行的程序和要求：董事会及监事会通过利润分配预案后，利润分配预案需提交公司股东大会审议，并由出席股东大会的股东（包括股东代理人）所持表决权的过半数通过。股东大会对现金分红具体方案进行审议时，应当通过多种渠道主动与股东特别是中小股东进行沟通和交流（包括但不限于提供网络投票表决、邀请中小股东</w:t>
            </w:r>
            <w:r>
              <w:rPr>
                <w:rFonts w:ascii="宋体" w:eastAsia="宋体" w:hAnsi="宋体" w:cs="宋体"/>
                <w:sz w:val="18"/>
                <w:szCs w:val="18"/>
              </w:rPr>
              <w:lastRenderedPageBreak/>
              <w:t>参会等方式），充分听取中小 股东的意见和诉求，并及时答复中小股东关心的问题。              （七）利润分配政策的调整机制      1、如公司外部经营环境变化并对公司生产经营造成重大影响，或公司自身 经营状况发生较大变化时，公司可对利润分配政策进行调整。调整后的利润分配政策应以股东权益保护为出发点，不得违反相关法律法规、规范性文件的规定。2、公司根据生产经营情况、投资规划和长期发展的需要等原因需调整利润分配政策的，应由公司董事会根据实际情况提出利润分配政策调整议案，由独立董事、监事会发表意见，经公司董事会审议通过后提请股东大会审议，并经出席股东大会的股东所持表决权的三分之二以上通过。公司调整利润分配政策，应当提供网络投票等方式为公众股东参与股东大会表决提</w:t>
            </w:r>
            <w:r>
              <w:rPr>
                <w:rFonts w:ascii="宋体" w:eastAsia="宋体" w:hAnsi="宋体" w:cs="宋体"/>
                <w:sz w:val="18"/>
                <w:szCs w:val="18"/>
              </w:rPr>
              <w:lastRenderedPageBreak/>
              <w:t>供便利。</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2024年7月19日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厦门东亚机械工业股份有限公司、韩萤焕、韩文浩、罗秀英、洪兵、张美俊、刘连科、岳秀丽</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IPO稳定股价承诺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为保护投资者利益，确定公司上市后三年内股价低于每股净资产时稳定公司 股价的措施，按照法律法规的相关要求，结合公司的实际情况，制定《厦门东亚机械工业股份有限公司上市后三年内稳定公司股价的预案》如下：              （一）启动股价稳定措施的条件      公司股票上市后三年内，非因不可抗力所致，若连续 20 个交易日的收盘价 均低于公司最近一年度经审计的每股净资产（若因除权除息等事项致使上述股票 收盘价与公司最近一年度经审计的每股净资产不具可比性的，上述股票收盘价应 做相应调整），则启动股价稳定程序，具体实施需符合中国证监会及证券交易所 的有关规定。（二）股价稳定措施的方式及顺序  股价稳定措施包括: （1）公司回购股票；（2）公司控股股东增持公司股票；（3）董事(不含独</w:t>
            </w:r>
            <w:r>
              <w:rPr>
                <w:rFonts w:ascii="宋体" w:eastAsia="宋体" w:hAnsi="宋体" w:cs="宋体"/>
                <w:sz w:val="18"/>
                <w:szCs w:val="18"/>
              </w:rPr>
              <w:lastRenderedPageBreak/>
              <w:t>立董事，下同)、高级管理人员增持公司股票等方式。选用前 述方式时应考虑：（1）不能导致公司不满足法定上市条件；（2）不能迫使控股 股东履行要约收购义务。                股价稳定措施的实施顺序如下：（1）第一选择为公司回购股票，但如公司回购股票将导致公司不满足法定上市条件，则第一选择为控股股东增持公司股票；（2）第二选择为控股股东增持公司股票。在下列情形之一出现时将启动第二选择：①公司无法实施回购股票或回购股票议案未获得公司股东大会批准，且控股 股东增持公司股票不会致使公司将不满足法定上市条件或触发控股股东的要约收购义务；或②公司虽实施股票回购计划但仍未满足连续 3 个交易日的收盘价均已高于公司最近一年度经审计的每股净资产之条件。（3）第三选择为董事、高级管理人员增持公司股</w:t>
            </w:r>
            <w:r>
              <w:rPr>
                <w:rFonts w:ascii="宋体" w:eastAsia="宋体" w:hAnsi="宋体" w:cs="宋体"/>
                <w:sz w:val="18"/>
                <w:szCs w:val="18"/>
              </w:rPr>
              <w:lastRenderedPageBreak/>
              <w:t>票。启动该选择的条件为： 在控股股东增持公司股票方案实施完成后，如公司股票仍未满足连续 3 个交易日的收盘价均已高于公司最近一年经审计的每股净资产之条件，并且董事、高级管 理人员增持公司股票不会致使公司将不满足法定上市条件或触发董事、高级管理人员的要约收购义务。单一会计年度，公司需强制启动股价稳定措施的义务限一次。（三）实施公司回购股票的程序       在达到触发启动股价稳定措施条件的情况下，公司将在 10 日内召开董事会， 依法作出实施回购股票的决议、提交股东大会批准并履行相应公告程序。公司将在董事会决议出具之日起 30 日内召开股东大会,审议实施回购股票的议案，公司股东大会对实施回购股票作出决议，必须经出席会议的股东所持表决权的 2/3 以 上通过。公司股东大会批准实施回购股票的议案后公司将</w:t>
            </w:r>
            <w:r>
              <w:rPr>
                <w:rFonts w:ascii="宋体" w:eastAsia="宋体" w:hAnsi="宋体" w:cs="宋体"/>
                <w:sz w:val="18"/>
                <w:szCs w:val="18"/>
              </w:rPr>
              <w:lastRenderedPageBreak/>
              <w:t>依法履行相应的公告、 备案及通知债权人等义务。在满足法定条件下依照决议通过的实施回购股票的议 案中所规定的价格区间、期限实施回购。公司回购股份的资金为自有资金,回购股份的价格不超过最近一个会计年度经审计的每股净资产，回购股份的方式为集中竞价交易方式、要约方式或证券监督管理部门认可的其他方式。单一会计年度用以稳定股价的回购资金合计不超过最近一个会计年度经审计的归属于母公司股东净利润的 50%。超过上述标准的，有关稳定股价措施在当年度不再继续实施。但如下一年度继续出现需启动稳定股价措施的情形时，公司将继续按照上述原则执行稳定股价预案。除非出现下列情形，公司将在股东大会决议作出之日起 6 个月内回购股票： （1）公司股票连续 3 个交易日的收盘价均已高于公司最近一年经审计的每股净资产；（2）继续回购股票将</w:t>
            </w:r>
            <w:r>
              <w:rPr>
                <w:rFonts w:ascii="宋体" w:eastAsia="宋体" w:hAnsi="宋体" w:cs="宋体"/>
                <w:sz w:val="18"/>
                <w:szCs w:val="18"/>
              </w:rPr>
              <w:lastRenderedPageBreak/>
              <w:t>导致公司不满足法定上市条件。 单次实施回购股票完毕或终止后，本次回购的公司股票应在实施完毕或终止之日起 10 日内注销，并及时办理公司减资程序。              （四）实施控股股东增持公司股票的程序                   1、启动程序     </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（1）公司未实施股票回购计划          在达到触发启动股价稳定措施条件的情况下，并且在公司无法实施回购股票或回购股票议案未获得公司股东大会批准，且控股股东增持公司股票不会致使公司将不满足法定上市条件或触发控股股东的要约收购义务的前提下，公司控股股 东将在达到触发启动股价稳定措施条件或公司股东大会作出不实施回购股票计 划的决议之日起 30 日内向公司提交增持公司股票的方案并由公司公告。（2）公司已实施股票回</w:t>
            </w:r>
            <w:r>
              <w:rPr>
                <w:rFonts w:ascii="宋体" w:eastAsia="宋体" w:hAnsi="宋体" w:cs="宋体"/>
                <w:sz w:val="18"/>
                <w:szCs w:val="18"/>
              </w:rPr>
              <w:lastRenderedPageBreak/>
              <w:t>购计划         公司虽实施股票回购计划但仍未满足公司股票连续 3 个交易日的收盘价均 已高于公司最近一年经审计的每股净资产之条件，公司控股股东将在公司股票回 购计划实施完毕或终止之日起 30 日内向公司提交增持公司股票的方案并由公司公告。2、控股股东增持公司股票的计划在履行相应的公告等义务后，控股股东将在满足法定条件下依照方案中所规定的价格区间、期限实施增持。 控股股东增持股票的金额不超过控股股东上年度从公司领取的分红和上年度从公司领取的薪酬的合计值，增持股份的价格不超过最近一个会计年度经审计 的每股净资产。公司不得为控股股东实施增持公司股票提供资金支持。除非出现下列情形,控股股东将在增持方案公告之日起 6 个月内实施增持公司股票计划：（1）公司股票连续 3 个交易日的收盘价均已高于</w:t>
            </w:r>
            <w:r>
              <w:rPr>
                <w:rFonts w:ascii="宋体" w:eastAsia="宋体" w:hAnsi="宋体" w:cs="宋体"/>
                <w:sz w:val="18"/>
                <w:szCs w:val="18"/>
              </w:rPr>
              <w:lastRenderedPageBreak/>
              <w:t>公司最近一年度经审计的每股净资产；（2）继续增持股票将导致公司不满足法定上市条件；（3）继续增持股票将导致控股股东需要履行要约收购义务且控股股东未计划实施要约收购。              （五）董事、高级管理人员增持公司股票的程序        </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在控股股东增持公司股票方案实施完成后，仍未满足公司股票连续 3 个交易 日的收盘价均已高于公司最近一年经审计的每股净资产之条件并且董事、高级管理人员增持公司股票不会致使公司将不满足法定上市条件或触发董事、高级管理人员的要约收购义务的情况下，董事、高级管理人员将在控股股东增持公司股票方案实施完成后 90 日内增持公司股票,且用于增持股票的资金不超过其上一年度于公司取得薪酬总额，增持股份的价格不超过最近一个会计年度经审计的每股净资产。</w:t>
            </w:r>
            <w:r>
              <w:rPr>
                <w:rFonts w:ascii="宋体" w:eastAsia="宋体" w:hAnsi="宋体" w:cs="宋体"/>
                <w:sz w:val="18"/>
                <w:szCs w:val="18"/>
              </w:rPr>
              <w:lastRenderedPageBreak/>
              <w:t>具体增持股票的数量等事项将提前公告。董事、高级管理人员增持公司股票在达到以下条件之一的情况下终止：（1）公司股票连续 3 个交易日的收盘价均已高于公司最近一年经审计的每股净资产；（2）继续增持股票将导致公司不满足法定上市条件；（3）继续增持股票将导致需要履行要约收购义务且其未计划实施要约收购。</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2024年7月19日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关于股东信息披露的承诺                公司承诺：1、本公司股东为韩萤焕、太平洋捷豹控股有限公司、厦门惠福资本投资合 伙企业（有限合伙）、厦门福瑞高科投资合伙企业（有限合伙）以及厦门发富投 资合伙企业（有限合伙），上述主体均具备持有本公司股份的主体资格，不存在 法律法规规定禁止持股的主体直接或间接持有本公司股份的情形；2、本次发行的中介机构或其负责人、高级管理人员、经办人员不存</w:t>
            </w:r>
            <w:r>
              <w:rPr>
                <w:rFonts w:ascii="宋体" w:eastAsia="宋体" w:hAnsi="宋体" w:cs="宋体"/>
                <w:sz w:val="18"/>
                <w:szCs w:val="18"/>
              </w:rPr>
              <w:lastRenderedPageBreak/>
              <w:t>在直接 或间接持有本公司股份或其他权益的情形；3、本公司股东不存在以本公司股权进行不当利益输送的情形；4、本公司及本公司股东已及时向本次发行的中介机构提供了真实、准确、 完整的资料，积极和全面配合了本次发行的中介机构开展尽职调查，依法在本次 发行的申报文件中真实、准确、完整地披露了股东信息，履行了信息披露义务。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、中信证券股份有限公司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不存在其他影响发行上市和投资者判断的重大事项     </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发行人、保荐机构承诺：除招股说明书等已披露的申请文件外，公司不存在其他影响发行上市和投资者判断的重大事项。</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厦门东亚机械工业股份有限公司、罗秀英、韩文浩、韩萤焕、刘志云、刘连科、卢文勇、姚斌、屈中标、岳秀丽、张美俊、洪兵、肖鸿、许泽浑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关于依法承担赔偿责任的承诺   （一）公司承诺  1、本公司承诺，本公司向深圳证券交易所提交的首次公开发行股票并在创 业板上市的招股说明书（以下简称“招股说明书”）及其他信息披露资料不存在</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虚假记载、误</w:t>
            </w:r>
            <w:r>
              <w:rPr>
                <w:rFonts w:ascii="宋体" w:eastAsia="宋体" w:hAnsi="宋体" w:cs="宋体"/>
                <w:sz w:val="18"/>
                <w:szCs w:val="18"/>
              </w:rPr>
              <w:lastRenderedPageBreak/>
              <w:t>导性陈述或者重大遗漏，并对其真实性、准确性、完整性承担法律责任。2、若招股说明书及其他信息披露资料存在虚假记载、误导性陈述或者重大 遗漏，致使投资者在证券交易中遭受损失，本公司将依法赔偿投资者损失。有权 获得赔偿的投资者资格、投资者损失的范围认定、赔偿主体之间的责任划分和免责事由按照《中华人民共和国证券法》《最高人民法院关于审理证券市场因虚假 陈述引发的民事赔偿案件的若干规定》等相关法律法规的规定执行，如相关法律法规相应修订，则按届时有效的法律法规执行。本公司将严格履行生效司法文书 认定的赔偿方式和赔偿金额，并接受社会监督，确保投资者合法权益得到有效保护。 3、本公司将积极采取合法措施履行就本次发行所做的所有承诺，自愿接受 监管机关、社会公众及投资者的监督，并依法承担相应责任。若本公司</w:t>
            </w:r>
            <w:r>
              <w:rPr>
                <w:rFonts w:ascii="宋体" w:eastAsia="宋体" w:hAnsi="宋体" w:cs="宋体"/>
                <w:sz w:val="18"/>
                <w:szCs w:val="18"/>
              </w:rPr>
              <w:lastRenderedPageBreak/>
              <w:t>未履行就本次发行所做的承诺，本公司将在本公司股东大会及中国证监会指定报刊上公开说明未履行的具体原因并向本公司股东和社会公众投资者道歉。若因违反上述承诺而被司法机关和/或行政机关作出相应裁判、决定，本公司将严格依法执行该 等裁判、决定。（二）公司控股股东韩萤焕，实际控制人韩萤焕、罗秀英和韩文浩，公司董事、 监事、高级管理人员承诺  1、发行人向深圳证券交易所提交的首次公开发行股票并在创业板上市的招 股说明书（以下简称“招股说明书”）及其他信息披露资料不存在虚假记载、误 导性陈述或者重大遗漏，本人对其真实性、准确性、完整性承担个别和连带的法 律责任。2、若招股说明书及其他信息披露资料存在虚假记载、误导性陈述或者重大 遗漏，致使投资者在证券交易中遭受损失，本人将依法赔偿投资者损失。有权</w:t>
            </w:r>
            <w:r>
              <w:rPr>
                <w:rFonts w:ascii="宋体" w:eastAsia="宋体" w:hAnsi="宋体" w:cs="宋体"/>
                <w:sz w:val="18"/>
                <w:szCs w:val="18"/>
              </w:rPr>
              <w:lastRenderedPageBreak/>
              <w:t>获得赔偿的投资者资格、投资者损失的范围认定、赔偿主体之间的责任划分和免责事由按照《中华人民共和国证券法》《最高人民法院关于审理证券市场因虚假陈述引发的民事赔偿案件的若干规定》等相关法律法规的规定执行，如相关法律法 规相应修订，则按届时有效的法律法规执行。本人将严格履行生效司法文书认定 的赔偿方式和赔偿金额，并接受社会监督，确保投资者合法权益得到有效保护。3、本人将积极采取合法措施履行就本次发行所做的所有承诺，自愿接受监管机关、社会公众及投资者的监督，并依法承担相应责任。若本人违反就本次发行所做的承诺，本人将在发行人股东大会及中国证监会指定报刊上公开说明未履行的具体原因并向发行人股东和社会公众投资者道歉，同时本人直接及间接持有的发行人股份将不得转让，直至本人按承诺采取相应的措施并实</w:t>
            </w:r>
            <w:r>
              <w:rPr>
                <w:rFonts w:ascii="宋体" w:eastAsia="宋体" w:hAnsi="宋体" w:cs="宋体"/>
                <w:sz w:val="18"/>
                <w:szCs w:val="18"/>
              </w:rPr>
              <w:lastRenderedPageBreak/>
              <w:t>施完毕时为止。 若因违反上述承诺而被司法机关和/或行政机关作出相应裁判、决定，本人将严 格依法执行该等裁判、决定。</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厦门东亚机械工业股份有限公司、罗秀英、韩文浩、韩萤焕、刘志云、刘连科、卢文勇、姚斌、屈中标、岳秀丽、张美俊、洪兵、肖鸿、许泽浑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未履行承诺时的约束措施           （一）公司承诺  1、如本公司未履行相关承诺事项,本公司应当及时、充分披露未履行承诺的具体情况、原因并向股东和社会公众投资者道歉。2、本公司将在有关监管机关要求的期限内予以纠正或及时作出合法、合理、 有效的补充承诺或替代性承诺。3、因本公司未履行相关承诺事项，致使投资者在证券交易中遭受损失的，本公司将依法向投资者承担赔偿责任。4、对未履行其已作出承诺、或因该等人士的自身原因导致公司未履行已作出承诺的本公司股东、董事、监事、高级管理人员、核心技术人员，本公司将立 即停止对其进行现金分红，并停发其应在本公司领取的薪酬、津贴，直</w:t>
            </w:r>
            <w:r>
              <w:rPr>
                <w:rFonts w:ascii="宋体" w:eastAsia="宋体" w:hAnsi="宋体" w:cs="宋体"/>
                <w:sz w:val="18"/>
                <w:szCs w:val="18"/>
              </w:rPr>
              <w:lastRenderedPageBreak/>
              <w:t>至该等人士履行相关承诺。 （二）公司的控股股东、实际控制人、董事、监事、高级管理人员承诺               1、如本人未履行相关承诺事项, 本人应当及时、充分披露未履行承诺的具 体情况、原因并向发行人的股东和社会公众投资者道歉。2、本人将在有关监管机关要求的期限内予以纠正或及时作出合法、合理、 有效的补充承诺或替代性承诺。3、如因本人未履行相关承诺事项,致使发行人或者其投资者遭受损失的，本人将向发行人或者其投资者依法承担赔偿责任。4、如本人未承担前述赔偿责任,发行人有权立即停发本人相关薪酬、津贴， 直至本人履行相关承诺,并有权扣减本人直接或间接所获分配的现金分红用于承 担前述赔偿责任，如当年度现金利润分配已经完成，则从下一年度应向该企业分 配的现金分红中扣减。5、如本人因未履行相</w:t>
            </w:r>
            <w:r>
              <w:rPr>
                <w:rFonts w:ascii="宋体" w:eastAsia="宋体" w:hAnsi="宋体" w:cs="宋体"/>
                <w:sz w:val="18"/>
                <w:szCs w:val="18"/>
              </w:rPr>
              <w:lastRenderedPageBreak/>
              <w:t>关承诺事项而获得收益的，所获收益全部归发行人所有。</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厦门东亚机械工业股份有限公司、罗秀英、韩文浩、韩萤焕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关于欺诈发行上市的股份购回承诺   （一）公司承诺：为维护公众投资者的利益，公司承诺如下：（1）本公司承诺，本公司向深圳证券交易所提交的首次公开发行股票并在创业板上市的招股说明书（以下简称“招股说明书”）不存在虚假记载、误导性陈述或者重大遗漏，并对其真实性、准确性、完整性承担法律责任。（2）若招股说明书存在虚假记载、误导性陈述或者重大遗漏，对判断本公司是否符合法律规定的发行条件构成重大、实质影响，或被认定构成欺诈发行上市的，本公司将自中国证监会认定有关违法事实后依法回购本公司首次公开发行的全部新股，回购价格将不低于发行价并加算银行同期存款利息，亦不低于提示性公告日前 30 个交易日本公司股票的加权平均价。本公司上市后发生</w:t>
            </w:r>
            <w:r>
              <w:rPr>
                <w:rFonts w:ascii="宋体" w:eastAsia="宋体" w:hAnsi="宋体" w:cs="宋体"/>
                <w:sz w:val="18"/>
                <w:szCs w:val="18"/>
              </w:rPr>
              <w:lastRenderedPageBreak/>
              <w:t>除权除息事项的，上述发行价格做相应调整。（二）公司控股股东韩萤焕，实际控制人韩萤焕、罗秀英和韩文浩承诺：1、发行人向深圳证券交易所提交的首次公开发行股票并在创业板上市招股 说明书（以下简称“招股说明书”）不存在虚假记载、误导性陈述或者重大遗漏，本人对其真实性、准确性、完整性承担个别和连带的法律责任。2、若招股说明书存在虚假记载、误导性陈述或者重大遗漏，并对判断发行人是否符合法律规定的发行条件构成重大、实质影响，或被认定构成欺诈上市的， 自中国证监会认定有关违法事实后，本人将依法购回并促使发行人依法回购发行人首次公开发行的全部新股，购回及回购价格将不低于发行价并加算银行同期存款利息，亦不低于提示性公告日前 30 个交易日发行人股票的加权平均价。发行 人上市后发生除权除息事项的,上</w:t>
            </w:r>
            <w:r>
              <w:rPr>
                <w:rFonts w:ascii="宋体" w:eastAsia="宋体" w:hAnsi="宋体" w:cs="宋体"/>
                <w:sz w:val="18"/>
                <w:szCs w:val="18"/>
              </w:rPr>
              <w:lastRenderedPageBreak/>
              <w:t>述发行价格做相应调整。</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罗秀英、韩文浩、韩萤焕、刘志云、刘连科、卢文勇、姚斌、屈中标、岳秀丽、张美俊、洪兵、肖鸿、许泽浑</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关于填补被摊薄即期回报的措施及承诺                       公司的控股股东、实际控制人、董事、高级管理人员对公司填补回报措施能够得到切实履行，作出如下承诺：1、本人承诺不会无偿或以不公平条件向其他单位或者个人输送利益, 也不采用其他方式损害公司利益；2、本人承诺对本人的职务消费行为进行约束；3、本人承诺不动用公司资产从事与其履行职责无关的投资、消费活动；4、本人承诺由董事会或薪酬与考核委员会制定的薪酬制度与公司填补回报措施的执行情况相挂钩；5、若公司后续推出公司股权激励政策,本人承诺拟公布的公司股权激励的行权条件与公司填补回报措施的执行情况相挂钩；6、自本承诺出具日至公司首次公开发行股票并上市实施完毕前，若中国证监会作出关于填补回报措施</w:t>
            </w:r>
            <w:r>
              <w:rPr>
                <w:rFonts w:ascii="宋体" w:eastAsia="宋体" w:hAnsi="宋体" w:cs="宋体"/>
                <w:sz w:val="18"/>
                <w:szCs w:val="18"/>
              </w:rPr>
              <w:lastRenderedPageBreak/>
              <w:t>及其承诺的其他新的监管规定的，且上述承诺不能满足中国证监会该等规定时，本人承诺届时将按照中国证监会的最新规定出具补充承诺；7、本人承诺切实履行公司制定的有关填补回报措施以及对此作出的任何有关填补回报措施的承诺,若违反该等承诺并给公司或者投资者造成损失的，本人 愿意依法承担对公司或者投资者的补偿责任。</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中信证券股份有限公司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保荐机构中信证券股份有限公司承诺：若因本公司为发行人首次公开发行股票并在创业板上市制作、出具的文件有虚假记载、误导性陈述或重大遗漏，给投资者造成损失的，将依法赔偿投资者损失。</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上海市通力律师事务所</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发行人律师上海市通力律师事务所承诺：若因本所为厦门东亚机械工业股份有限公司本次发行上市制作、出具的文件有虚假记载、误导性陈述或者重大遗漏，给投资者造成损失的，将依法赔偿投资者损失。</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9999年12年31日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容诚会计师事务所（特殊普通合伙）、天衡会计师事务所（特殊普通合伙）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发行人审计机构、验资机构、验资复核机构容诚会计师事务所（特殊普通合伙）承诺：因本所为发行人首次公开发行制作、出具的文件有虚假记载、误导性陈述或者重大遗漏，给投资者造成损失的，在该等违法事实被认定后，将依法赔偿投资者损失。 </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发行人验资机构天衡会计师事务所（特殊普通合伙）承诺：若因本所为厦门东亚机械工业股份有限公司首次公开发行股票并在创业板上市出具的天衡验字（2016）00082号、天衡验字（2016）00107号、天衡验字（2016）00114号验资报告有虚假记载、误导性陈述或者重大遗漏，给投资者造成损失的，在该等违法事实被认定后，本所将依法赔偿投资者损失。</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厦门市大学资产评估土地房地产估价有限责任公司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发行人评估机构厦门市大学资产评估土地房地产估价有限责任公司承诺：若因本公司为厦门东亚机械工业股份有限公司首次公开发行股票</w:t>
            </w:r>
            <w:r>
              <w:rPr>
                <w:rFonts w:ascii="宋体" w:eastAsia="宋体" w:hAnsi="宋体" w:cs="宋体"/>
                <w:sz w:val="18"/>
                <w:szCs w:val="18"/>
              </w:rPr>
              <w:lastRenderedPageBreak/>
              <w:t>并在创业板上市制作、出具的文件有虚假记载、误导性陈述或者重大遗漏，给投资者造成损失的，在该等违法事实被认定后，本公司将依法赔偿投资者损失。</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2021年07月20日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9999年12月31日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罗秀英、韩文浩、韩萤焕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其他承诺</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2020 年</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12 月，公司实际控制人已经就公司注册商标相关事项承诺如下：“若 公司因注册并使用‘捷豹</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JAGUAR’相关商标侵犯他人商标专用权，导致公司 承担罚款、损害赔偿等侵权责任的，公司承担相关责任后，本人将向公司全额补 偿。本承诺函自出具之日起 60 个月内有效。”</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2020年12月01日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2025年11月30日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正常履行中</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承诺是否按时履行</w:t>
            </w:r>
          </w:p>
        </w:tc>
        <w:tc>
          <w:tcPr>
            <w:tcW w:w="8262" w:type="dxa"/>
            <w:gridSpan w:val="6"/>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是</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如承诺超期未履行完毕的，应当详细说明未完成履行的具体原因及下一步的工作计划</w:t>
            </w:r>
          </w:p>
        </w:tc>
        <w:tc>
          <w:tcPr>
            <w:tcW w:w="8262" w:type="dxa"/>
            <w:gridSpan w:val="6"/>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pStyle w:val="3"/>
        <w:spacing w:line="280" w:lineRule="exact"/>
        <w:jc w:val="left"/>
        <w:rPr>
          <w:rFonts w:ascii="宋体" w:hAnsi="宋体" w:cs="宋体"/>
          <w:b/>
          <w:bCs/>
        </w:rPr>
      </w:pPr>
      <w:bookmarkStart w:id="96" w:name="_Toc988984"/>
      <w:r>
        <w:rPr>
          <w:rFonts w:ascii="宋体" w:hAnsi="宋体" w:cs="宋体"/>
          <w:b/>
          <w:bCs/>
        </w:rPr>
        <w:t>2、公司资产或项目存在盈利预测，且报告期仍处在盈利预测期间，公司就资产或项目达到原盈利预测及其原因做出说明</w:t>
      </w:r>
      <w:bookmarkEnd w:id="96"/>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97" w:name="_Toc988985"/>
      <w:r>
        <w:rPr>
          <w:rFonts w:ascii="宋体" w:eastAsia="宋体" w:hAnsi="宋体" w:cs="宋体"/>
          <w:b/>
          <w:bCs/>
          <w:sz w:val="24"/>
          <w:szCs w:val="24"/>
        </w:rPr>
        <w:t>二、控股股东及其他关联方对上市公司的非经营性占用资金情况</w:t>
      </w:r>
      <w:bookmarkEnd w:id="97"/>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公司报告期不存在控股股东及其他关联方对上市公司的非经营性占用资金。</w:t>
      </w:r>
    </w:p>
    <w:p w:rsidR="0080594E" w:rsidRDefault="000C39A3">
      <w:pPr>
        <w:pStyle w:val="2"/>
        <w:spacing w:before="300" w:after="300" w:line="320" w:lineRule="exact"/>
        <w:rPr>
          <w:rFonts w:ascii="宋体" w:eastAsia="宋体" w:hAnsi="宋体" w:cs="宋体"/>
          <w:b/>
          <w:bCs/>
          <w:sz w:val="24"/>
          <w:szCs w:val="24"/>
        </w:rPr>
      </w:pPr>
      <w:bookmarkStart w:id="98" w:name="_Toc988986"/>
      <w:r>
        <w:rPr>
          <w:rFonts w:ascii="宋体" w:eastAsia="宋体" w:hAnsi="宋体" w:cs="宋体"/>
          <w:b/>
          <w:bCs/>
          <w:sz w:val="24"/>
          <w:szCs w:val="24"/>
        </w:rPr>
        <w:lastRenderedPageBreak/>
        <w:t>三、违规对外担保情况</w:t>
      </w:r>
      <w:bookmarkEnd w:id="98"/>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公司报告期无违规对外担保情况。</w:t>
      </w:r>
    </w:p>
    <w:p w:rsidR="0080594E" w:rsidRDefault="000C39A3">
      <w:pPr>
        <w:pStyle w:val="2"/>
        <w:spacing w:before="300" w:after="300" w:line="320" w:lineRule="exact"/>
        <w:rPr>
          <w:rFonts w:ascii="宋体" w:eastAsia="宋体" w:hAnsi="宋体" w:cs="宋体"/>
          <w:b/>
          <w:bCs/>
          <w:sz w:val="24"/>
          <w:szCs w:val="24"/>
        </w:rPr>
      </w:pPr>
      <w:bookmarkStart w:id="99" w:name="_Toc988987"/>
      <w:r>
        <w:rPr>
          <w:rFonts w:ascii="宋体" w:eastAsia="宋体" w:hAnsi="宋体" w:cs="宋体"/>
          <w:b/>
          <w:bCs/>
          <w:sz w:val="24"/>
          <w:szCs w:val="24"/>
        </w:rPr>
        <w:t>四、董事会对最近一期“非标准审计报告”相关情况的说明</w:t>
      </w:r>
      <w:bookmarkEnd w:id="99"/>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00" w:name="_Toc988988"/>
      <w:r>
        <w:rPr>
          <w:rFonts w:ascii="宋体" w:eastAsia="宋体" w:hAnsi="宋体" w:cs="宋体"/>
          <w:b/>
          <w:bCs/>
          <w:sz w:val="24"/>
          <w:szCs w:val="24"/>
        </w:rPr>
        <w:t>五、董事会、监事会、独立董事（如有）对会计师事务所本报告期“非标准审计报告”的说明</w:t>
      </w:r>
      <w:bookmarkEnd w:id="10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01" w:name="_Toc988989"/>
      <w:r>
        <w:rPr>
          <w:rFonts w:ascii="宋体" w:eastAsia="宋体" w:hAnsi="宋体" w:cs="宋体"/>
          <w:b/>
          <w:bCs/>
          <w:sz w:val="24"/>
          <w:szCs w:val="24"/>
        </w:rPr>
        <w:t>六、董事会关于报告期会计政策、会计估计变更或重大会计差错更正的说明</w:t>
      </w:r>
      <w:bookmarkEnd w:id="10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02" w:name="_Toc988990"/>
      <w:r>
        <w:rPr>
          <w:rFonts w:ascii="宋体" w:eastAsia="宋体" w:hAnsi="宋体" w:cs="宋体"/>
          <w:b/>
          <w:bCs/>
          <w:sz w:val="24"/>
          <w:szCs w:val="24"/>
        </w:rPr>
        <w:t>七、与上年度财务报告相比，合并报表范围发生变化的情况说明</w:t>
      </w:r>
      <w:bookmarkEnd w:id="102"/>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公司报告期无合并报表范围发生变化的情况。</w:t>
      </w:r>
    </w:p>
    <w:p w:rsidR="0080594E" w:rsidRDefault="000C39A3">
      <w:pPr>
        <w:pStyle w:val="2"/>
        <w:spacing w:before="300" w:after="300" w:line="320" w:lineRule="exact"/>
        <w:rPr>
          <w:rFonts w:ascii="宋体" w:eastAsia="宋体" w:hAnsi="宋体" w:cs="宋体"/>
          <w:b/>
          <w:bCs/>
          <w:sz w:val="24"/>
          <w:szCs w:val="24"/>
        </w:rPr>
      </w:pPr>
      <w:bookmarkStart w:id="103" w:name="_Toc988991"/>
      <w:r>
        <w:rPr>
          <w:rFonts w:ascii="宋体" w:eastAsia="宋体" w:hAnsi="宋体" w:cs="宋体"/>
          <w:b/>
          <w:bCs/>
          <w:sz w:val="24"/>
          <w:szCs w:val="24"/>
        </w:rPr>
        <w:t>八、聘任、解聘会计师事务所情况</w:t>
      </w:r>
      <w:bookmarkEnd w:id="103"/>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现聘任的会计师事务所</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境内会计师事务所名称</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容诚会计师事务所（特殊普通合伙）</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境内会计师事务所报酬（万元）</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境内会计师事务所审计服务的连续年限</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6年</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境内会计师事务所注册会计师姓名</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邱小娇、林辉钦、李江华</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境内会计师事务所注册会计师审计服务的连续年限</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邱小娇、林辉钦连续服务2年，李江华连续服务1年</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是否改聘会计师事务所</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聘请内部控制审计会计师事务所、财务顾问或保荐人情况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04" w:name="_Toc988992"/>
      <w:r>
        <w:rPr>
          <w:rFonts w:ascii="宋体" w:eastAsia="宋体" w:hAnsi="宋体" w:cs="宋体"/>
          <w:b/>
          <w:bCs/>
          <w:sz w:val="24"/>
          <w:szCs w:val="24"/>
        </w:rPr>
        <w:t>九、年度报告披露后面临退市情况</w:t>
      </w:r>
      <w:bookmarkEnd w:id="104"/>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05" w:name="_Toc988993"/>
      <w:r>
        <w:rPr>
          <w:rFonts w:ascii="宋体" w:eastAsia="宋体" w:hAnsi="宋体" w:cs="宋体"/>
          <w:b/>
          <w:bCs/>
          <w:sz w:val="24"/>
          <w:szCs w:val="24"/>
        </w:rPr>
        <w:t>十、破产重整相关事项</w:t>
      </w:r>
      <w:bookmarkEnd w:id="105"/>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公司报告期未发生破产重整相关事项。</w:t>
      </w:r>
    </w:p>
    <w:p w:rsidR="0080594E" w:rsidRDefault="000C39A3">
      <w:pPr>
        <w:pStyle w:val="2"/>
        <w:spacing w:before="300" w:after="300" w:line="320" w:lineRule="exact"/>
        <w:rPr>
          <w:rFonts w:ascii="宋体" w:eastAsia="宋体" w:hAnsi="宋体" w:cs="宋体"/>
          <w:b/>
          <w:bCs/>
          <w:sz w:val="24"/>
          <w:szCs w:val="24"/>
        </w:rPr>
      </w:pPr>
      <w:bookmarkStart w:id="106" w:name="_Toc988994"/>
      <w:r>
        <w:rPr>
          <w:rFonts w:ascii="宋体" w:eastAsia="宋体" w:hAnsi="宋体" w:cs="宋体"/>
          <w:b/>
          <w:bCs/>
          <w:sz w:val="24"/>
          <w:szCs w:val="24"/>
        </w:rPr>
        <w:lastRenderedPageBreak/>
        <w:t>十一、重大诉讼、仲裁事项</w:t>
      </w:r>
      <w:bookmarkEnd w:id="106"/>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本年度公司无重大诉讼、仲裁事项。</w:t>
      </w:r>
    </w:p>
    <w:p w:rsidR="00763E1E" w:rsidRDefault="00763E1E" w:rsidP="00763E1E">
      <w:pPr>
        <w:spacing w:before="100" w:after="100" w:line="240" w:lineRule="exact"/>
        <w:rPr>
          <w:rFonts w:ascii="宋体" w:eastAsia="宋体" w:hAnsi="宋体" w:cs="宋体"/>
          <w:sz w:val="18"/>
          <w:szCs w:val="18"/>
        </w:rPr>
      </w:pPr>
      <w:r>
        <w:rPr>
          <w:rFonts w:ascii="宋体" w:eastAsia="宋体" w:hAnsi="宋体" w:cs="宋体"/>
          <w:sz w:val="18"/>
          <w:szCs w:val="18"/>
        </w:rPr>
        <w:t>其他诉讼事项</w:t>
      </w:r>
    </w:p>
    <w:p w:rsidR="00763E1E" w:rsidRDefault="00763E1E" w:rsidP="00763E1E">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763E1E" w:rsidTr="009E2405">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诉讼(仲裁)基本情况</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涉案金额（万元）</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是否形成预计负债</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诉讼(仲裁)进展</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诉讼(仲裁)审理结果及影响</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诉讼(仲裁)判决执行情况</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63E1E" w:rsidRDefault="00763E1E" w:rsidP="009E2405">
            <w:pPr>
              <w:spacing w:before="40" w:after="40" w:line="240" w:lineRule="exact"/>
              <w:jc w:val="center"/>
              <w:rPr>
                <w:rFonts w:ascii="宋体" w:eastAsia="宋体" w:hAnsi="宋体" w:cs="宋体"/>
                <w:sz w:val="18"/>
                <w:szCs w:val="18"/>
              </w:rPr>
            </w:pPr>
            <w:r>
              <w:rPr>
                <w:rFonts w:ascii="宋体" w:eastAsia="宋体" w:hAnsi="宋体" w:cs="宋体"/>
                <w:sz w:val="18"/>
                <w:szCs w:val="18"/>
              </w:rPr>
              <w:t>披露索引</w:t>
            </w:r>
          </w:p>
        </w:tc>
      </w:tr>
      <w:tr w:rsidR="00763E1E" w:rsidTr="009E2405">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763E1E" w:rsidRDefault="00763E1E" w:rsidP="009E2405">
            <w:pPr>
              <w:spacing w:line="240" w:lineRule="exact"/>
              <w:rPr>
                <w:rFonts w:ascii="宋体" w:eastAsia="宋体" w:hAnsi="宋体" w:cs="宋体"/>
                <w:sz w:val="18"/>
                <w:szCs w:val="18"/>
              </w:rPr>
            </w:pPr>
            <w:r>
              <w:rPr>
                <w:rFonts w:ascii="宋体" w:eastAsia="宋体" w:hAnsi="宋体" w:cs="宋体"/>
                <w:sz w:val="18"/>
                <w:szCs w:val="18"/>
              </w:rPr>
              <w:t>商标维权纠纷</w:t>
            </w:r>
          </w:p>
        </w:tc>
        <w:tc>
          <w:tcPr>
            <w:tcW w:w="1205" w:type="dxa"/>
            <w:tcBorders>
              <w:top w:val="single" w:sz="2" w:space="0" w:color="auto"/>
              <w:left w:val="single" w:sz="2" w:space="0" w:color="auto"/>
              <w:bottom w:val="single" w:sz="2" w:space="0" w:color="auto"/>
              <w:right w:val="single" w:sz="2" w:space="0" w:color="auto"/>
            </w:tcBorders>
            <w:vAlign w:val="center"/>
          </w:tcPr>
          <w:p w:rsidR="00763E1E" w:rsidRDefault="003816FD" w:rsidP="003816FD">
            <w:pPr>
              <w:spacing w:line="240" w:lineRule="exact"/>
              <w:jc w:val="right"/>
              <w:rPr>
                <w:rFonts w:ascii="宋体" w:eastAsia="宋体" w:hAnsi="宋体" w:cs="宋体"/>
                <w:sz w:val="18"/>
                <w:szCs w:val="18"/>
              </w:rPr>
            </w:pPr>
            <w:r>
              <w:rPr>
                <w:rFonts w:ascii="宋体" w:eastAsia="宋体" w:hAnsi="宋体" w:cs="宋体"/>
                <w:sz w:val="18"/>
                <w:szCs w:val="18"/>
              </w:rPr>
              <w:t>34</w:t>
            </w:r>
            <w:r w:rsidR="00763E1E">
              <w:rPr>
                <w:rFonts w:ascii="宋体" w:eastAsia="宋体" w:hAnsi="宋体" w:cs="宋体"/>
                <w:sz w:val="18"/>
                <w:szCs w:val="18"/>
              </w:rPr>
              <w:t>.</w:t>
            </w:r>
            <w:r>
              <w:rPr>
                <w:rFonts w:ascii="宋体" w:eastAsia="宋体" w:hAnsi="宋体" w:cs="宋体"/>
                <w:sz w:val="18"/>
                <w:szCs w:val="18"/>
              </w:rPr>
              <w:t>09</w:t>
            </w:r>
          </w:p>
        </w:tc>
        <w:tc>
          <w:tcPr>
            <w:tcW w:w="1205" w:type="dxa"/>
            <w:tcBorders>
              <w:top w:val="single" w:sz="2" w:space="0" w:color="auto"/>
              <w:left w:val="single" w:sz="2" w:space="0" w:color="auto"/>
              <w:bottom w:val="single" w:sz="2" w:space="0" w:color="auto"/>
              <w:right w:val="single" w:sz="2" w:space="0" w:color="auto"/>
            </w:tcBorders>
            <w:vAlign w:val="center"/>
          </w:tcPr>
          <w:p w:rsidR="00763E1E" w:rsidRDefault="00763E1E" w:rsidP="009E2405">
            <w:pPr>
              <w:spacing w:line="240" w:lineRule="exact"/>
              <w:rPr>
                <w:rFonts w:ascii="宋体" w:eastAsia="宋体" w:hAnsi="宋体" w:cs="宋体"/>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rsidR="00763E1E" w:rsidRDefault="00763E1E" w:rsidP="009E2405">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763E1E" w:rsidRDefault="00763E1E" w:rsidP="009E2405">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763E1E" w:rsidRDefault="00763E1E" w:rsidP="009E2405">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763E1E" w:rsidRDefault="00763E1E" w:rsidP="009E2405">
            <w:pPr>
              <w:spacing w:line="240" w:lineRule="exact"/>
              <w:rPr>
                <w:rFonts w:ascii="宋体" w:eastAsia="宋体" w:hAnsi="宋体" w:cs="宋体"/>
                <w:sz w:val="18"/>
                <w:szCs w:val="18"/>
              </w:rPr>
            </w:pPr>
            <w:r>
              <w:rPr>
                <w:rFonts w:ascii="宋体" w:eastAsia="宋体" w:hAnsi="宋体" w:cs="宋体"/>
                <w:sz w:val="18"/>
                <w:szCs w:val="18"/>
              </w:rPr>
              <w:t>不适用</w:t>
            </w:r>
          </w:p>
        </w:tc>
        <w:tc>
          <w:tcPr>
            <w:tcW w:w="1205" w:type="dxa"/>
            <w:tcBorders>
              <w:top w:val="single" w:sz="2" w:space="0" w:color="auto"/>
              <w:left w:val="single" w:sz="2" w:space="0" w:color="auto"/>
              <w:bottom w:val="single" w:sz="2" w:space="0" w:color="auto"/>
              <w:right w:val="single" w:sz="2" w:space="0" w:color="auto"/>
            </w:tcBorders>
            <w:vAlign w:val="center"/>
          </w:tcPr>
          <w:p w:rsidR="00763E1E" w:rsidRDefault="00763E1E" w:rsidP="009E2405">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pStyle w:val="2"/>
        <w:spacing w:before="300" w:after="300" w:line="320" w:lineRule="exact"/>
        <w:rPr>
          <w:rFonts w:ascii="宋体" w:eastAsia="宋体" w:hAnsi="宋体" w:cs="宋体"/>
          <w:b/>
          <w:bCs/>
          <w:sz w:val="24"/>
          <w:szCs w:val="24"/>
        </w:rPr>
      </w:pPr>
      <w:bookmarkStart w:id="107" w:name="_Toc988995"/>
      <w:r>
        <w:rPr>
          <w:rFonts w:ascii="宋体" w:eastAsia="宋体" w:hAnsi="宋体" w:cs="宋体"/>
          <w:b/>
          <w:bCs/>
          <w:sz w:val="24"/>
          <w:szCs w:val="24"/>
        </w:rPr>
        <w:t>十二、处罚及整改情况</w:t>
      </w:r>
      <w:bookmarkEnd w:id="107"/>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公司报告期不存在处罚及整改情况。</w:t>
      </w:r>
    </w:p>
    <w:p w:rsidR="0080594E" w:rsidRDefault="000C39A3">
      <w:pPr>
        <w:pStyle w:val="2"/>
        <w:spacing w:before="300" w:after="300" w:line="320" w:lineRule="exact"/>
        <w:rPr>
          <w:rFonts w:ascii="宋体" w:eastAsia="宋体" w:hAnsi="宋体" w:cs="宋体"/>
          <w:b/>
          <w:bCs/>
          <w:sz w:val="24"/>
          <w:szCs w:val="24"/>
        </w:rPr>
      </w:pPr>
      <w:bookmarkStart w:id="108" w:name="_Toc988996"/>
      <w:r>
        <w:rPr>
          <w:rFonts w:ascii="宋体" w:eastAsia="宋体" w:hAnsi="宋体" w:cs="宋体"/>
          <w:b/>
          <w:bCs/>
          <w:sz w:val="24"/>
          <w:szCs w:val="24"/>
        </w:rPr>
        <w:t>十三、公司及其控股股东、实际控制人的诚信状况</w:t>
      </w:r>
      <w:bookmarkEnd w:id="108"/>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09" w:name="_Toc988997"/>
      <w:r>
        <w:rPr>
          <w:rFonts w:ascii="宋体" w:eastAsia="宋体" w:hAnsi="宋体" w:cs="宋体"/>
          <w:b/>
          <w:bCs/>
          <w:sz w:val="24"/>
          <w:szCs w:val="24"/>
        </w:rPr>
        <w:t>十四、重大关联交易</w:t>
      </w:r>
      <w:bookmarkEnd w:id="109"/>
    </w:p>
    <w:p w:rsidR="0080594E" w:rsidRDefault="000C39A3">
      <w:pPr>
        <w:pStyle w:val="3"/>
        <w:spacing w:line="280" w:lineRule="exact"/>
        <w:jc w:val="left"/>
        <w:rPr>
          <w:rFonts w:ascii="宋体" w:hAnsi="宋体" w:cs="宋体"/>
          <w:b/>
          <w:bCs/>
        </w:rPr>
      </w:pPr>
      <w:bookmarkStart w:id="110" w:name="_Toc988998"/>
      <w:r>
        <w:rPr>
          <w:rFonts w:ascii="宋体" w:hAnsi="宋体" w:cs="宋体"/>
          <w:b/>
          <w:bCs/>
        </w:rPr>
        <w:t>1、与日常经营相关的关联交易</w:t>
      </w:r>
      <w:bookmarkEnd w:id="110"/>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公司报告期未发生与日常经营相关的关联交易。</w:t>
      </w:r>
    </w:p>
    <w:p w:rsidR="0080594E" w:rsidRDefault="000C39A3">
      <w:pPr>
        <w:pStyle w:val="3"/>
        <w:spacing w:line="280" w:lineRule="exact"/>
        <w:jc w:val="left"/>
        <w:rPr>
          <w:rFonts w:ascii="宋体" w:hAnsi="宋体" w:cs="宋体"/>
          <w:b/>
          <w:bCs/>
        </w:rPr>
      </w:pPr>
      <w:bookmarkStart w:id="111" w:name="_Toc988999"/>
      <w:r>
        <w:rPr>
          <w:rFonts w:ascii="宋体" w:hAnsi="宋体" w:cs="宋体"/>
          <w:b/>
          <w:bCs/>
        </w:rPr>
        <w:t>2、资产或股权收购、出售发生的关联交易</w:t>
      </w:r>
      <w:bookmarkEnd w:id="111"/>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公司报告期未发生资产或股权收购、出售的关联交易。</w:t>
      </w:r>
    </w:p>
    <w:p w:rsidR="0080594E" w:rsidRDefault="000C39A3">
      <w:pPr>
        <w:pStyle w:val="3"/>
        <w:spacing w:line="280" w:lineRule="exact"/>
        <w:jc w:val="left"/>
        <w:rPr>
          <w:rFonts w:ascii="宋体" w:hAnsi="宋体" w:cs="宋体"/>
          <w:b/>
          <w:bCs/>
        </w:rPr>
      </w:pPr>
      <w:bookmarkStart w:id="112" w:name="_Toc989000"/>
      <w:r>
        <w:rPr>
          <w:rFonts w:ascii="宋体" w:hAnsi="宋体" w:cs="宋体"/>
          <w:b/>
          <w:bCs/>
        </w:rPr>
        <w:t>3、共同对外投资的关联交易</w:t>
      </w:r>
      <w:bookmarkEnd w:id="112"/>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公司报告期未发生共同对外投资的关联交易。</w:t>
      </w:r>
    </w:p>
    <w:p w:rsidR="0080594E" w:rsidRDefault="000C39A3">
      <w:pPr>
        <w:pStyle w:val="3"/>
        <w:spacing w:line="280" w:lineRule="exact"/>
        <w:jc w:val="left"/>
        <w:rPr>
          <w:rFonts w:ascii="宋体" w:hAnsi="宋体" w:cs="宋体"/>
          <w:b/>
          <w:bCs/>
        </w:rPr>
      </w:pPr>
      <w:bookmarkStart w:id="113" w:name="_Toc989001"/>
      <w:r>
        <w:rPr>
          <w:rFonts w:ascii="宋体" w:hAnsi="宋体" w:cs="宋体"/>
          <w:b/>
          <w:bCs/>
        </w:rPr>
        <w:t>4、关联债权债务往来</w:t>
      </w:r>
      <w:bookmarkEnd w:id="113"/>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公司报告期不存在关联债权债务往来。</w:t>
      </w:r>
    </w:p>
    <w:p w:rsidR="0080594E" w:rsidRDefault="000C39A3">
      <w:pPr>
        <w:pStyle w:val="3"/>
        <w:spacing w:line="280" w:lineRule="exact"/>
        <w:jc w:val="left"/>
        <w:rPr>
          <w:rFonts w:ascii="宋体" w:hAnsi="宋体" w:cs="宋体"/>
          <w:b/>
          <w:bCs/>
        </w:rPr>
      </w:pPr>
      <w:bookmarkStart w:id="114" w:name="_Toc989002"/>
      <w:r>
        <w:rPr>
          <w:rFonts w:ascii="宋体" w:hAnsi="宋体" w:cs="宋体"/>
          <w:b/>
          <w:bCs/>
        </w:rPr>
        <w:t>5、与存在关联关系的财务公司的往来情况</w:t>
      </w:r>
      <w:bookmarkEnd w:id="114"/>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公司与存在关联关系的财务公司与关联方之间不存在存款、贷款、授信或其他金融业务。</w:t>
      </w:r>
    </w:p>
    <w:p w:rsidR="0080594E" w:rsidRDefault="000C39A3">
      <w:pPr>
        <w:pStyle w:val="3"/>
        <w:spacing w:line="280" w:lineRule="exact"/>
        <w:jc w:val="left"/>
        <w:rPr>
          <w:rFonts w:ascii="宋体" w:hAnsi="宋体" w:cs="宋体"/>
          <w:b/>
          <w:bCs/>
        </w:rPr>
      </w:pPr>
      <w:bookmarkStart w:id="115" w:name="_Toc989003"/>
      <w:r>
        <w:rPr>
          <w:rFonts w:ascii="宋体" w:hAnsi="宋体" w:cs="宋体"/>
          <w:b/>
          <w:bCs/>
        </w:rPr>
        <w:lastRenderedPageBreak/>
        <w:t>6、公司控股的财务公司与关联方的往来情况</w:t>
      </w:r>
      <w:bookmarkEnd w:id="115"/>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80594E">
      <w:pPr>
        <w:spacing w:before="40" w:after="40" w:line="0" w:lineRule="atLeast"/>
      </w:pP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公司控股的财务公司与关联方之间不存在存款、贷款、授信或其他金融业务。</w:t>
      </w:r>
    </w:p>
    <w:p w:rsidR="0080594E" w:rsidRDefault="000C39A3">
      <w:pPr>
        <w:pStyle w:val="3"/>
        <w:spacing w:line="280" w:lineRule="exact"/>
        <w:jc w:val="left"/>
        <w:rPr>
          <w:rFonts w:ascii="宋体" w:hAnsi="宋体" w:cs="宋体"/>
          <w:b/>
          <w:bCs/>
        </w:rPr>
      </w:pPr>
      <w:bookmarkStart w:id="116" w:name="_Toc989004"/>
      <w:r>
        <w:rPr>
          <w:rFonts w:ascii="宋体" w:hAnsi="宋体" w:cs="宋体"/>
          <w:b/>
          <w:bCs/>
        </w:rPr>
        <w:t>7、其他重大关联交易</w:t>
      </w:r>
      <w:bookmarkEnd w:id="116"/>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公司报告期无其他重大关联交易。</w:t>
      </w:r>
    </w:p>
    <w:p w:rsidR="0080594E" w:rsidRDefault="000C39A3">
      <w:pPr>
        <w:pStyle w:val="2"/>
        <w:spacing w:before="300" w:after="300" w:line="320" w:lineRule="exact"/>
        <w:rPr>
          <w:rFonts w:ascii="宋体" w:eastAsia="宋体" w:hAnsi="宋体" w:cs="宋体"/>
          <w:b/>
          <w:bCs/>
          <w:sz w:val="24"/>
          <w:szCs w:val="24"/>
        </w:rPr>
      </w:pPr>
      <w:bookmarkStart w:id="117" w:name="_Toc989005"/>
      <w:r>
        <w:rPr>
          <w:rFonts w:ascii="宋体" w:eastAsia="宋体" w:hAnsi="宋体" w:cs="宋体"/>
          <w:b/>
          <w:bCs/>
          <w:sz w:val="24"/>
          <w:szCs w:val="24"/>
        </w:rPr>
        <w:t>十五、重大合同及其履行情况</w:t>
      </w:r>
      <w:bookmarkEnd w:id="117"/>
    </w:p>
    <w:p w:rsidR="0080594E" w:rsidRDefault="000C39A3">
      <w:pPr>
        <w:pStyle w:val="3"/>
        <w:spacing w:line="280" w:lineRule="exact"/>
        <w:jc w:val="left"/>
        <w:rPr>
          <w:rFonts w:ascii="宋体" w:hAnsi="宋体" w:cs="宋体"/>
          <w:b/>
          <w:bCs/>
        </w:rPr>
      </w:pPr>
      <w:bookmarkStart w:id="118" w:name="_Toc989006"/>
      <w:r>
        <w:rPr>
          <w:rFonts w:ascii="宋体" w:hAnsi="宋体" w:cs="宋体"/>
          <w:b/>
          <w:bCs/>
        </w:rPr>
        <w:t>1、托管、承包、租赁事项情况</w:t>
      </w:r>
      <w:bookmarkEnd w:id="118"/>
    </w:p>
    <w:p w:rsidR="0080594E" w:rsidRDefault="000C39A3">
      <w:pPr>
        <w:keepNext/>
        <w:keepLines/>
        <w:spacing w:before="300" w:after="300" w:line="280" w:lineRule="exact"/>
        <w:outlineLvl w:val="3"/>
        <w:rPr>
          <w:rFonts w:ascii="宋体" w:eastAsia="宋体" w:hAnsi="宋体" w:cs="宋体"/>
          <w:b/>
          <w:bCs/>
          <w:sz w:val="18"/>
          <w:szCs w:val="18"/>
        </w:rPr>
      </w:pPr>
      <w:bookmarkStart w:id="119" w:name="_Toc989007"/>
      <w:r>
        <w:rPr>
          <w:rFonts w:ascii="宋体" w:eastAsia="宋体" w:hAnsi="宋体" w:cs="宋体"/>
          <w:b/>
          <w:bCs/>
          <w:sz w:val="18"/>
          <w:szCs w:val="18"/>
        </w:rPr>
        <w:t>（1） 托管情况</w:t>
      </w:r>
      <w:bookmarkEnd w:id="119"/>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公司报告期不存在托管情况。</w:t>
      </w:r>
    </w:p>
    <w:p w:rsidR="0080594E" w:rsidRDefault="000C39A3">
      <w:pPr>
        <w:keepNext/>
        <w:keepLines/>
        <w:spacing w:before="300" w:after="300" w:line="280" w:lineRule="exact"/>
        <w:outlineLvl w:val="3"/>
        <w:rPr>
          <w:rFonts w:ascii="宋体" w:eastAsia="宋体" w:hAnsi="宋体" w:cs="宋体"/>
          <w:b/>
          <w:bCs/>
          <w:sz w:val="18"/>
          <w:szCs w:val="18"/>
        </w:rPr>
      </w:pPr>
      <w:bookmarkStart w:id="120" w:name="_Toc989008"/>
      <w:r>
        <w:rPr>
          <w:rFonts w:ascii="宋体" w:eastAsia="宋体" w:hAnsi="宋体" w:cs="宋体"/>
          <w:b/>
          <w:bCs/>
          <w:sz w:val="18"/>
          <w:szCs w:val="18"/>
        </w:rPr>
        <w:t>（2） 承包情况</w:t>
      </w:r>
      <w:bookmarkEnd w:id="120"/>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公司报告期不存在承包情况。</w:t>
      </w:r>
    </w:p>
    <w:p w:rsidR="0080594E" w:rsidRDefault="000C39A3">
      <w:pPr>
        <w:keepNext/>
        <w:keepLines/>
        <w:spacing w:before="300" w:after="300" w:line="280" w:lineRule="exact"/>
        <w:outlineLvl w:val="3"/>
        <w:rPr>
          <w:rFonts w:ascii="宋体" w:eastAsia="宋体" w:hAnsi="宋体" w:cs="宋体"/>
          <w:b/>
          <w:bCs/>
          <w:sz w:val="18"/>
          <w:szCs w:val="18"/>
        </w:rPr>
      </w:pPr>
      <w:bookmarkStart w:id="121" w:name="_Toc989009"/>
      <w:r>
        <w:rPr>
          <w:rFonts w:ascii="宋体" w:eastAsia="宋体" w:hAnsi="宋体" w:cs="宋体"/>
          <w:b/>
          <w:bCs/>
          <w:sz w:val="18"/>
          <w:szCs w:val="18"/>
        </w:rPr>
        <w:t>（3） 租赁情况</w:t>
      </w:r>
      <w:bookmarkEnd w:id="12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租赁情况说明</w:t>
      </w:r>
    </w:p>
    <w:tbl>
      <w:tblPr>
        <w:tblW w:w="9617" w:type="dxa"/>
        <w:jc w:val="center"/>
        <w:tblCellMar>
          <w:left w:w="0" w:type="dxa"/>
          <w:right w:w="0" w:type="dxa"/>
        </w:tblCellMar>
        <w:tblLook w:val="04A0" w:firstRow="1" w:lastRow="0" w:firstColumn="1" w:lastColumn="0" w:noHBand="0" w:noVBand="1"/>
      </w:tblPr>
      <w:tblGrid>
        <w:gridCol w:w="830"/>
        <w:gridCol w:w="933"/>
        <w:gridCol w:w="959"/>
        <w:gridCol w:w="1822"/>
        <w:gridCol w:w="995"/>
        <w:gridCol w:w="1402"/>
        <w:gridCol w:w="1815"/>
        <w:gridCol w:w="861"/>
      </w:tblGrid>
      <w:tr w:rsidR="000C39A3">
        <w:trPr>
          <w:divId w:val="482048129"/>
          <w:jc w:val="center"/>
        </w:trPr>
        <w:tc>
          <w:tcPr>
            <w:tcW w:w="830"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序号</w:t>
            </w:r>
          </w:p>
        </w:tc>
        <w:tc>
          <w:tcPr>
            <w:tcW w:w="933" w:type="dxa"/>
            <w:tcBorders>
              <w:top w:val="single" w:sz="8" w:space="0" w:color="auto"/>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出租人</w:t>
            </w:r>
          </w:p>
        </w:tc>
        <w:tc>
          <w:tcPr>
            <w:tcW w:w="959" w:type="dxa"/>
            <w:tcBorders>
              <w:top w:val="single" w:sz="8" w:space="0" w:color="auto"/>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承租人</w:t>
            </w:r>
          </w:p>
        </w:tc>
        <w:tc>
          <w:tcPr>
            <w:tcW w:w="1822" w:type="dxa"/>
            <w:tcBorders>
              <w:top w:val="single" w:sz="8" w:space="0" w:color="auto"/>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座落</w:t>
            </w:r>
          </w:p>
        </w:tc>
        <w:tc>
          <w:tcPr>
            <w:tcW w:w="995" w:type="dxa"/>
            <w:tcBorders>
              <w:top w:val="single" w:sz="8" w:space="0" w:color="auto"/>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面积（</w:t>
            </w:r>
            <w:r>
              <w:rPr>
                <w:rFonts w:ascii="Times New Roman" w:hAnsi="Times New Roman" w:cs="Times New Roman"/>
                <w:sz w:val="18"/>
                <w:szCs w:val="18"/>
              </w:rPr>
              <w:t>m2</w:t>
            </w:r>
            <w:r>
              <w:rPr>
                <w:rFonts w:hint="eastAsia"/>
                <w:sz w:val="18"/>
                <w:szCs w:val="18"/>
              </w:rPr>
              <w:t>）</w:t>
            </w:r>
          </w:p>
        </w:tc>
        <w:tc>
          <w:tcPr>
            <w:tcW w:w="1402" w:type="dxa"/>
            <w:tcBorders>
              <w:top w:val="single" w:sz="8" w:space="0" w:color="auto"/>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租赁期限</w:t>
            </w:r>
          </w:p>
        </w:tc>
        <w:tc>
          <w:tcPr>
            <w:tcW w:w="1815" w:type="dxa"/>
            <w:tcBorders>
              <w:top w:val="single" w:sz="8" w:space="0" w:color="auto"/>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租金</w:t>
            </w:r>
          </w:p>
        </w:tc>
        <w:tc>
          <w:tcPr>
            <w:tcW w:w="861" w:type="dxa"/>
            <w:tcBorders>
              <w:top w:val="single" w:sz="8" w:space="0" w:color="auto"/>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40" w:beforeAutospacing="0" w:after="40" w:afterAutospacing="0"/>
              <w:jc w:val="center"/>
            </w:pPr>
            <w:r>
              <w:rPr>
                <w:rFonts w:hint="eastAsia"/>
                <w:sz w:val="18"/>
                <w:szCs w:val="18"/>
              </w:rPr>
              <w:t>用途</w:t>
            </w:r>
          </w:p>
        </w:tc>
      </w:tr>
      <w:tr w:rsidR="000C39A3">
        <w:trPr>
          <w:divId w:val="482048129"/>
          <w:jc w:val="center"/>
        </w:trPr>
        <w:tc>
          <w:tcPr>
            <w:tcW w:w="830" w:type="dxa"/>
            <w:tcBorders>
              <w:top w:val="nil"/>
              <w:left w:val="single" w:sz="8" w:space="0" w:color="auto"/>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ind w:firstLine="180"/>
            </w:pPr>
            <w:r>
              <w:rPr>
                <w:rFonts w:hint="eastAsia"/>
                <w:sz w:val="18"/>
                <w:szCs w:val="18"/>
              </w:rPr>
              <w:t> 1</w:t>
            </w:r>
          </w:p>
        </w:tc>
        <w:tc>
          <w:tcPr>
            <w:tcW w:w="933"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厦门东亚机械工业股份有限公司</w:t>
            </w:r>
          </w:p>
        </w:tc>
        <w:tc>
          <w:tcPr>
            <w:tcW w:w="959"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泉州家美家酒店投资有限公司</w:t>
            </w:r>
          </w:p>
        </w:tc>
        <w:tc>
          <w:tcPr>
            <w:tcW w:w="182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厦门市湖里区海天路94 号之2楼、3 楼、4 楼、5 楼、6 楼和 7 楼以及 96 号 204 房、304 房、 404  房、504 房、603 房和604 房</w:t>
            </w:r>
          </w:p>
        </w:tc>
        <w:tc>
          <w:tcPr>
            <w:tcW w:w="99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3,745.90</w:t>
            </w:r>
          </w:p>
        </w:tc>
        <w:tc>
          <w:tcPr>
            <w:tcW w:w="140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2019/2/1-2022/7/31</w:t>
            </w:r>
          </w:p>
        </w:tc>
        <w:tc>
          <w:tcPr>
            <w:tcW w:w="181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pPr>
            <w:r>
              <w:rPr>
                <w:rFonts w:hint="eastAsia"/>
                <w:sz w:val="18"/>
                <w:szCs w:val="18"/>
              </w:rPr>
              <w:t>2019/2/1-2022/3/31月租金158,000 元；2022/4/1-2022/7/31月租金100,000元。 </w:t>
            </w:r>
          </w:p>
        </w:tc>
        <w:tc>
          <w:tcPr>
            <w:tcW w:w="861"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both"/>
            </w:pPr>
            <w:r>
              <w:rPr>
                <w:rFonts w:hint="eastAsia"/>
                <w:sz w:val="18"/>
                <w:szCs w:val="18"/>
              </w:rPr>
              <w:t>宾馆及宾馆用办公室</w:t>
            </w:r>
          </w:p>
        </w:tc>
      </w:tr>
      <w:tr w:rsidR="000C39A3">
        <w:trPr>
          <w:divId w:val="482048129"/>
          <w:jc w:val="center"/>
        </w:trPr>
        <w:tc>
          <w:tcPr>
            <w:tcW w:w="830" w:type="dxa"/>
            <w:tcBorders>
              <w:top w:val="nil"/>
              <w:left w:val="single" w:sz="8" w:space="0" w:color="auto"/>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2</w:t>
            </w:r>
          </w:p>
        </w:tc>
        <w:tc>
          <w:tcPr>
            <w:tcW w:w="933"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厦门东亚机械工业股份有限公司</w:t>
            </w:r>
          </w:p>
        </w:tc>
        <w:tc>
          <w:tcPr>
            <w:tcW w:w="959"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厦门津竹牛酒店管理有限公司</w:t>
            </w:r>
          </w:p>
        </w:tc>
        <w:tc>
          <w:tcPr>
            <w:tcW w:w="182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厦门市湖里区海天路94 号之2楼、3 楼、4 楼、5 楼、6 楼和 7 楼以及 96 号 204 房、304 房、 404  房、504 房、603 房和604 房</w:t>
            </w:r>
          </w:p>
        </w:tc>
        <w:tc>
          <w:tcPr>
            <w:tcW w:w="99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3,745.90</w:t>
            </w:r>
          </w:p>
        </w:tc>
        <w:tc>
          <w:tcPr>
            <w:tcW w:w="140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2022/8/01-2032/6/30</w:t>
            </w:r>
          </w:p>
        </w:tc>
        <w:tc>
          <w:tcPr>
            <w:tcW w:w="181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2022/8/1-2025/6/30月租金158,000元；2025/7/1-2030/6/30月租金171,000元；2030/7/1-2032/06/30月租金180,000元</w:t>
            </w:r>
          </w:p>
        </w:tc>
        <w:tc>
          <w:tcPr>
            <w:tcW w:w="861"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both"/>
            </w:pPr>
            <w:r>
              <w:rPr>
                <w:rFonts w:hint="eastAsia"/>
                <w:sz w:val="18"/>
                <w:szCs w:val="18"/>
              </w:rPr>
              <w:t>宾馆及宾馆用办公室</w:t>
            </w:r>
          </w:p>
        </w:tc>
      </w:tr>
      <w:tr w:rsidR="000C39A3">
        <w:trPr>
          <w:divId w:val="482048129"/>
          <w:jc w:val="center"/>
        </w:trPr>
        <w:tc>
          <w:tcPr>
            <w:tcW w:w="830" w:type="dxa"/>
            <w:tcBorders>
              <w:top w:val="nil"/>
              <w:left w:val="single" w:sz="8" w:space="0" w:color="auto"/>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3</w:t>
            </w:r>
          </w:p>
        </w:tc>
        <w:tc>
          <w:tcPr>
            <w:tcW w:w="933"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厦门东亚机械工业股份有限公司</w:t>
            </w:r>
          </w:p>
        </w:tc>
        <w:tc>
          <w:tcPr>
            <w:tcW w:w="959"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ind w:firstLine="180"/>
            </w:pPr>
            <w:r>
              <w:rPr>
                <w:rFonts w:hint="eastAsia"/>
                <w:sz w:val="18"/>
                <w:szCs w:val="18"/>
              </w:rPr>
              <w:t>林宏财</w:t>
            </w:r>
          </w:p>
        </w:tc>
        <w:tc>
          <w:tcPr>
            <w:tcW w:w="182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 厦门市湖里区海天路 94 号海天大厦第一层</w:t>
            </w:r>
          </w:p>
        </w:tc>
        <w:tc>
          <w:tcPr>
            <w:tcW w:w="99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467.99</w:t>
            </w:r>
          </w:p>
        </w:tc>
        <w:tc>
          <w:tcPr>
            <w:tcW w:w="140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2020/7/1-2025/6/30</w:t>
            </w:r>
          </w:p>
        </w:tc>
        <w:tc>
          <w:tcPr>
            <w:tcW w:w="181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月租金64,000元</w:t>
            </w:r>
          </w:p>
        </w:tc>
        <w:tc>
          <w:tcPr>
            <w:tcW w:w="861"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酒楼经营</w:t>
            </w:r>
          </w:p>
        </w:tc>
      </w:tr>
      <w:tr w:rsidR="000C39A3">
        <w:trPr>
          <w:divId w:val="482048129"/>
          <w:trHeight w:val="1609"/>
          <w:jc w:val="center"/>
        </w:trPr>
        <w:tc>
          <w:tcPr>
            <w:tcW w:w="830" w:type="dxa"/>
            <w:tcBorders>
              <w:top w:val="nil"/>
              <w:left w:val="single" w:sz="8" w:space="0" w:color="auto"/>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lastRenderedPageBreak/>
              <w:t>4</w:t>
            </w:r>
          </w:p>
        </w:tc>
        <w:tc>
          <w:tcPr>
            <w:tcW w:w="933"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厦门东亚机械工业股份有限公司</w:t>
            </w:r>
          </w:p>
        </w:tc>
        <w:tc>
          <w:tcPr>
            <w:tcW w:w="959"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厦门中圳东鑫投资有限公司</w:t>
            </w:r>
          </w:p>
        </w:tc>
        <w:tc>
          <w:tcPr>
            <w:tcW w:w="182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厦门市同安区西柯镇通福路588号之一</w:t>
            </w:r>
          </w:p>
        </w:tc>
        <w:tc>
          <w:tcPr>
            <w:tcW w:w="99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70,165.00</w:t>
            </w:r>
          </w:p>
        </w:tc>
        <w:tc>
          <w:tcPr>
            <w:tcW w:w="1402"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2022/2/1-2034/1/31</w:t>
            </w:r>
          </w:p>
        </w:tc>
        <w:tc>
          <w:tcPr>
            <w:tcW w:w="1815"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免租期2个月：2022/2/1-2022/3/31月租金：1,789,208元</w:t>
            </w:r>
          </w:p>
        </w:tc>
        <w:tc>
          <w:tcPr>
            <w:tcW w:w="861" w:type="dxa"/>
            <w:tcBorders>
              <w:top w:val="nil"/>
              <w:left w:val="nil"/>
              <w:bottom w:val="single" w:sz="8" w:space="0" w:color="auto"/>
              <w:right w:val="single" w:sz="8" w:space="0" w:color="auto"/>
            </w:tcBorders>
            <w:tcMar>
              <w:top w:w="10" w:type="dxa"/>
              <w:left w:w="10" w:type="dxa"/>
              <w:bottom w:w="10" w:type="dxa"/>
              <w:right w:w="10" w:type="dxa"/>
            </w:tcMar>
            <w:hideMark/>
          </w:tcPr>
          <w:p w:rsidR="000C39A3" w:rsidRDefault="000C39A3">
            <w:pPr>
              <w:pStyle w:val="a4"/>
              <w:spacing w:before="0" w:beforeAutospacing="0" w:after="0" w:afterAutospacing="0"/>
              <w:jc w:val="center"/>
            </w:pPr>
            <w:r>
              <w:rPr>
                <w:rFonts w:hint="eastAsia"/>
                <w:sz w:val="18"/>
                <w:szCs w:val="18"/>
              </w:rPr>
              <w:t>生产经营</w:t>
            </w:r>
          </w:p>
        </w:tc>
      </w:tr>
    </w:tbl>
    <w:p w:rsidR="000C39A3" w:rsidRDefault="000C39A3">
      <w:pPr>
        <w:divId w:val="482048129"/>
      </w:pP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为公司带来的损益达到公司报告期利润总额10%以上的项目</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公司报告期不存在为公司带来的损益达到公司报告期利润总额10%以上的租赁项目。</w:t>
      </w:r>
    </w:p>
    <w:p w:rsidR="0080594E" w:rsidRDefault="000C39A3">
      <w:pPr>
        <w:pStyle w:val="3"/>
        <w:spacing w:line="280" w:lineRule="exact"/>
        <w:jc w:val="left"/>
        <w:rPr>
          <w:rFonts w:ascii="宋体" w:hAnsi="宋体" w:cs="宋体"/>
          <w:b/>
          <w:bCs/>
        </w:rPr>
      </w:pPr>
      <w:bookmarkStart w:id="122" w:name="_Toc989010"/>
      <w:r>
        <w:rPr>
          <w:rFonts w:ascii="宋体" w:hAnsi="宋体" w:cs="宋体"/>
          <w:b/>
          <w:bCs/>
        </w:rPr>
        <w:t>2、重大担保</w:t>
      </w:r>
      <w:bookmarkEnd w:id="122"/>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公司报告期不存在重大担保情况。</w:t>
      </w:r>
    </w:p>
    <w:p w:rsidR="0080594E" w:rsidRDefault="0080594E"/>
    <w:p w:rsidR="0080594E" w:rsidRDefault="000C39A3">
      <w:pPr>
        <w:pStyle w:val="3"/>
        <w:spacing w:line="280" w:lineRule="exact"/>
        <w:jc w:val="left"/>
        <w:rPr>
          <w:rFonts w:ascii="宋体" w:hAnsi="宋体" w:cs="宋体"/>
          <w:b/>
          <w:bCs/>
        </w:rPr>
      </w:pPr>
      <w:bookmarkStart w:id="123" w:name="_Toc989011"/>
      <w:r>
        <w:rPr>
          <w:rFonts w:ascii="宋体" w:hAnsi="宋体" w:cs="宋体"/>
          <w:b/>
          <w:bCs/>
        </w:rPr>
        <w:t>3、委托他人进行现金资产管理情况</w:t>
      </w:r>
      <w:bookmarkEnd w:id="123"/>
    </w:p>
    <w:p w:rsidR="0080594E" w:rsidRDefault="000C39A3">
      <w:pPr>
        <w:keepNext/>
        <w:keepLines/>
        <w:spacing w:before="300" w:after="300" w:line="280" w:lineRule="exact"/>
        <w:outlineLvl w:val="3"/>
        <w:rPr>
          <w:rFonts w:ascii="宋体" w:eastAsia="宋体" w:hAnsi="宋体" w:cs="宋体"/>
          <w:b/>
          <w:bCs/>
          <w:sz w:val="18"/>
          <w:szCs w:val="18"/>
        </w:rPr>
      </w:pPr>
      <w:bookmarkStart w:id="124" w:name="_Toc989012"/>
      <w:r>
        <w:rPr>
          <w:rFonts w:ascii="宋体" w:eastAsia="宋体" w:hAnsi="宋体" w:cs="宋体"/>
          <w:b/>
          <w:bCs/>
          <w:sz w:val="18"/>
          <w:szCs w:val="18"/>
        </w:rPr>
        <w:t>（1） 委托理财情况</w:t>
      </w:r>
      <w:bookmarkEnd w:id="124"/>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报告期内委托理财概况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7"/>
        <w:gridCol w:w="1608"/>
        <w:gridCol w:w="1606"/>
        <w:gridCol w:w="1606"/>
        <w:gridCol w:w="1606"/>
        <w:gridCol w:w="1606"/>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具体类型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委托理财的资金来源</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委托理财发生额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未到期余额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逾期未收回的金额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逾期未收回理财已计提减值金额</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自有资金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53,856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其他类</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自有资金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36,146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36,146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其他类</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募集资金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100,502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36,146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单项金额重大或安全性较低、流动性较差的高风险委托理财具体情况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委托理财出现预期无法收回本金或存在其他可能导致减值的情形</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keepNext/>
        <w:keepLines/>
        <w:spacing w:before="300" w:after="300" w:line="280" w:lineRule="exact"/>
        <w:outlineLvl w:val="3"/>
        <w:rPr>
          <w:rFonts w:ascii="宋体" w:eastAsia="宋体" w:hAnsi="宋体" w:cs="宋体"/>
          <w:b/>
          <w:bCs/>
          <w:sz w:val="18"/>
          <w:szCs w:val="18"/>
        </w:rPr>
      </w:pPr>
      <w:bookmarkStart w:id="125" w:name="_Toc989013"/>
      <w:r>
        <w:rPr>
          <w:rFonts w:ascii="宋体" w:eastAsia="宋体" w:hAnsi="宋体" w:cs="宋体"/>
          <w:b/>
          <w:bCs/>
          <w:sz w:val="18"/>
          <w:szCs w:val="18"/>
        </w:rPr>
        <w:t>（2） 委托贷款情况</w:t>
      </w:r>
      <w:bookmarkEnd w:id="125"/>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公司报告期不存在委托贷款。</w:t>
      </w:r>
    </w:p>
    <w:p w:rsidR="0080594E" w:rsidRDefault="000C39A3">
      <w:pPr>
        <w:pStyle w:val="3"/>
        <w:spacing w:line="280" w:lineRule="exact"/>
        <w:jc w:val="left"/>
        <w:rPr>
          <w:rFonts w:ascii="宋体" w:hAnsi="宋体" w:cs="宋体"/>
          <w:b/>
          <w:bCs/>
        </w:rPr>
      </w:pPr>
      <w:bookmarkStart w:id="126" w:name="_Toc989014"/>
      <w:r>
        <w:rPr>
          <w:rFonts w:ascii="宋体" w:hAnsi="宋体" w:cs="宋体"/>
          <w:b/>
          <w:bCs/>
        </w:rPr>
        <w:t>4、其他重大合同</w:t>
      </w:r>
      <w:bookmarkEnd w:id="126"/>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公司报告期不存在其他重大合同。</w:t>
      </w:r>
    </w:p>
    <w:p w:rsidR="0080594E" w:rsidRDefault="000C39A3">
      <w:pPr>
        <w:pStyle w:val="2"/>
        <w:spacing w:before="300" w:after="300" w:line="320" w:lineRule="exact"/>
        <w:rPr>
          <w:rFonts w:ascii="宋体" w:eastAsia="宋体" w:hAnsi="宋体" w:cs="宋体"/>
          <w:b/>
          <w:bCs/>
          <w:sz w:val="24"/>
          <w:szCs w:val="24"/>
        </w:rPr>
      </w:pPr>
      <w:bookmarkStart w:id="127" w:name="_Toc989015"/>
      <w:r>
        <w:rPr>
          <w:rFonts w:ascii="宋体" w:eastAsia="宋体" w:hAnsi="宋体" w:cs="宋体"/>
          <w:b/>
          <w:bCs/>
          <w:sz w:val="24"/>
          <w:szCs w:val="24"/>
        </w:rPr>
        <w:lastRenderedPageBreak/>
        <w:t>十六、其他重大事项的说明</w:t>
      </w:r>
      <w:bookmarkEnd w:id="127"/>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divId w:val="563639082"/>
      </w:pPr>
      <w:r>
        <w:rPr>
          <w:rFonts w:hint="eastAsia"/>
          <w:sz w:val="18"/>
          <w:szCs w:val="18"/>
        </w:rPr>
        <w:t>  1、2021年12月23日，公司召开第二届董事会第二十二次会议，审议通过了2021年限制性股票激励计划的相关议案，具体内容详见公司于2021年12月23日在巨潮资讯网上披露的《2021年限制性股票激励计划（草案）》。2022年1月12日，公司召开2022年第一次临时股东大会，未审议通过2021年限制性股票激励计划相关议案，具体内容详见公司于同日在巨潮资讯网上披露的《2021年第一次临时股东大会决议公告》（公告编号：2022-004）。</w:t>
      </w:r>
    </w:p>
    <w:p w:rsidR="000C39A3" w:rsidRDefault="000C39A3">
      <w:pPr>
        <w:pStyle w:val="a4"/>
        <w:divId w:val="563639082"/>
      </w:pPr>
      <w:r>
        <w:rPr>
          <w:rFonts w:hint="eastAsia"/>
          <w:sz w:val="18"/>
          <w:szCs w:val="18"/>
        </w:rPr>
        <w:t>  2、2022年3月3日，公司召开了第二届董事会第二十三次会议，审议通过《关于公司参与土地竞拍的议案》，并于3月23日以最终成交价格3,143万元成功竞得编号2021TG02-G地块的国有建设用地使用权，并与厦门市自然资源和规划局签订了《成交确认书》。具体内容详见公司于巨潮资讯网上披露的《关于参与土地竞拍的公告》（公告编号：2022-008）、《关于参与土地竞拍的进展公告》（公告编号：2022-009）。</w:t>
      </w:r>
    </w:p>
    <w:p w:rsidR="000C39A3" w:rsidRDefault="000C39A3">
      <w:pPr>
        <w:pStyle w:val="a4"/>
        <w:divId w:val="563639082"/>
      </w:pPr>
      <w:r>
        <w:rPr>
          <w:rFonts w:hint="eastAsia"/>
          <w:sz w:val="18"/>
          <w:szCs w:val="18"/>
        </w:rPr>
        <w:t>  3、2022年4月6日，公司召开了第二届董事会第二十四次会议 ，审议通过《关于2021年度利润分配预案的议案》，公司2021年度利润分配预案的内容为：以总股本378,912,000股为基数，向全体股东每10股派发现金股利人民币2.00元（含税），合计派发现金红利人民币75,782,400.00元（含税），不进行资本公积转增股本，不送红股，剩余未分配利润结转以后年度分配。 在利润分配预案披露日至实施权益分派股权登记日期间，公司股本总额若发生变化，公司将维持每股分配比例不变，相应调整分配总额。2022年5月11日，公司召开2021年年度股东大会，审议通过《关于2021年度利润分配预案的议案》。公司已于2022年6月8日实施完成了上述权益分派事项。具体内容详见公司于巨潮资讯网上披露的《第二届董事会第二十四次会议决议公告》（公告编号：2022-010）、《2021年年度股东大会决议公告》（公告编号：2022-024）、《2021年年度权益分派实施公告》（公告编号：2022-038）。</w:t>
      </w:r>
    </w:p>
    <w:p w:rsidR="000C39A3" w:rsidRDefault="000C39A3">
      <w:pPr>
        <w:pStyle w:val="a4"/>
        <w:divId w:val="563639082"/>
      </w:pPr>
      <w:r>
        <w:rPr>
          <w:rFonts w:ascii="Calibri" w:hAnsi="Calibri" w:cs="Calibri"/>
          <w:color w:val="000000"/>
          <w:sz w:val="18"/>
          <w:szCs w:val="18"/>
        </w:rPr>
        <w:t>      4</w:t>
      </w:r>
      <w:r>
        <w:rPr>
          <w:rFonts w:hint="eastAsia"/>
          <w:color w:val="000000"/>
          <w:sz w:val="18"/>
          <w:szCs w:val="18"/>
        </w:rPr>
        <w:t>、</w:t>
      </w:r>
      <w:r>
        <w:rPr>
          <w:rFonts w:ascii="Calibri" w:hAnsi="Calibri" w:cs="Calibri"/>
          <w:color w:val="000000"/>
          <w:sz w:val="18"/>
          <w:szCs w:val="18"/>
        </w:rPr>
        <w:t>2022</w:t>
      </w:r>
      <w:r>
        <w:rPr>
          <w:rFonts w:hint="eastAsia"/>
          <w:color w:val="000000"/>
          <w:sz w:val="18"/>
          <w:szCs w:val="18"/>
        </w:rPr>
        <w:t>年</w:t>
      </w:r>
      <w:r>
        <w:rPr>
          <w:rFonts w:ascii="Calibri" w:hAnsi="Calibri" w:cs="Calibri"/>
          <w:color w:val="000000"/>
          <w:sz w:val="18"/>
          <w:szCs w:val="18"/>
        </w:rPr>
        <w:t>8</w:t>
      </w:r>
      <w:r>
        <w:rPr>
          <w:rFonts w:hint="eastAsia"/>
          <w:color w:val="000000"/>
          <w:sz w:val="18"/>
          <w:szCs w:val="18"/>
        </w:rPr>
        <w:t>月</w:t>
      </w:r>
      <w:r>
        <w:rPr>
          <w:rFonts w:ascii="Calibri" w:hAnsi="Calibri" w:cs="Calibri"/>
          <w:color w:val="000000"/>
          <w:sz w:val="18"/>
          <w:szCs w:val="18"/>
        </w:rPr>
        <w:t>26</w:t>
      </w:r>
      <w:r>
        <w:rPr>
          <w:rFonts w:hint="eastAsia"/>
          <w:color w:val="000000"/>
          <w:sz w:val="18"/>
          <w:szCs w:val="18"/>
        </w:rPr>
        <w:t>日，公司召开了第三届董事会第二次会议</w:t>
      </w:r>
      <w:r>
        <w:rPr>
          <w:rFonts w:ascii="Calibri" w:hAnsi="Calibri" w:cs="Calibri"/>
          <w:color w:val="000000"/>
          <w:sz w:val="18"/>
          <w:szCs w:val="18"/>
        </w:rPr>
        <w:t xml:space="preserve"> </w:t>
      </w:r>
      <w:r>
        <w:rPr>
          <w:rFonts w:hint="eastAsia"/>
          <w:color w:val="000000"/>
          <w:sz w:val="18"/>
          <w:szCs w:val="18"/>
        </w:rPr>
        <w:t>，审议通过《关于投资建设空压机制造基地工程项目的议案》，</w:t>
      </w:r>
      <w:r>
        <w:rPr>
          <w:rFonts w:ascii="Calibri" w:hAnsi="Calibri" w:cs="Calibri"/>
          <w:color w:val="000000"/>
          <w:sz w:val="18"/>
          <w:szCs w:val="18"/>
        </w:rPr>
        <w:t xml:space="preserve"> </w:t>
      </w:r>
      <w:r>
        <w:rPr>
          <w:rFonts w:hint="eastAsia"/>
          <w:color w:val="000000"/>
          <w:sz w:val="18"/>
          <w:szCs w:val="18"/>
        </w:rPr>
        <w:t>项目拟投资总金额为人民币</w:t>
      </w:r>
      <w:r>
        <w:rPr>
          <w:rFonts w:ascii="Calibri" w:hAnsi="Calibri" w:cs="Calibri"/>
          <w:color w:val="000000"/>
          <w:sz w:val="18"/>
          <w:szCs w:val="18"/>
        </w:rPr>
        <w:t>73,300.00</w:t>
      </w:r>
      <w:r>
        <w:rPr>
          <w:rFonts w:hint="eastAsia"/>
          <w:color w:val="000000"/>
          <w:sz w:val="18"/>
          <w:szCs w:val="18"/>
        </w:rPr>
        <w:t>万元</w:t>
      </w:r>
      <w:r>
        <w:rPr>
          <w:rFonts w:ascii="Calibri" w:hAnsi="Calibri" w:cs="Calibri"/>
          <w:color w:val="000000"/>
          <w:sz w:val="18"/>
          <w:szCs w:val="18"/>
        </w:rPr>
        <w:t xml:space="preserve"> </w:t>
      </w:r>
      <w:r>
        <w:rPr>
          <w:rFonts w:hint="eastAsia"/>
          <w:color w:val="000000"/>
          <w:sz w:val="18"/>
          <w:szCs w:val="18"/>
        </w:rPr>
        <w:t>，具体内容详见公司于巨潮资讯网上披露的《</w:t>
      </w:r>
      <w:r>
        <w:rPr>
          <w:rFonts w:hint="eastAsia"/>
          <w:color w:val="000000"/>
          <w:spacing w:val="-16"/>
          <w:sz w:val="18"/>
          <w:szCs w:val="18"/>
        </w:rPr>
        <w:t>关于投资建设空压机制造基地工程项目的公告</w:t>
      </w:r>
      <w:r>
        <w:rPr>
          <w:rFonts w:hint="eastAsia"/>
          <w:color w:val="000000"/>
          <w:sz w:val="18"/>
          <w:szCs w:val="18"/>
        </w:rPr>
        <w:t>》（公告编号：</w:t>
      </w:r>
      <w:r>
        <w:rPr>
          <w:rFonts w:ascii="Calibri" w:hAnsi="Calibri" w:cs="Calibri"/>
          <w:color w:val="000000"/>
          <w:sz w:val="18"/>
          <w:szCs w:val="18"/>
        </w:rPr>
        <w:t>2022-053</w:t>
      </w:r>
      <w:r>
        <w:rPr>
          <w:rFonts w:hint="eastAsia"/>
          <w:color w:val="000000"/>
          <w:sz w:val="18"/>
          <w:szCs w:val="18"/>
        </w:rPr>
        <w:t>）</w:t>
      </w:r>
      <w:r>
        <w:rPr>
          <w:rFonts w:hint="eastAsia"/>
          <w:sz w:val="18"/>
          <w:szCs w:val="18"/>
        </w:rPr>
        <w:t xml:space="preserve"> </w:t>
      </w:r>
    </w:p>
    <w:p w:rsidR="000C39A3" w:rsidRDefault="000C39A3">
      <w:pPr>
        <w:pStyle w:val="a4"/>
        <w:divId w:val="563639082"/>
      </w:pPr>
      <w:r>
        <w:rPr>
          <w:rFonts w:hint="eastAsia"/>
        </w:rPr>
        <w:t> </w:t>
      </w:r>
    </w:p>
    <w:p w:rsidR="0080594E" w:rsidRDefault="000C39A3">
      <w:pPr>
        <w:pStyle w:val="2"/>
        <w:spacing w:before="300" w:after="300" w:line="320" w:lineRule="exact"/>
        <w:rPr>
          <w:rFonts w:ascii="宋体" w:eastAsia="宋体" w:hAnsi="宋体" w:cs="宋体"/>
          <w:b/>
          <w:bCs/>
          <w:sz w:val="24"/>
          <w:szCs w:val="24"/>
        </w:rPr>
      </w:pPr>
      <w:bookmarkStart w:id="128" w:name="_Toc989016"/>
      <w:r>
        <w:rPr>
          <w:rFonts w:ascii="宋体" w:eastAsia="宋体" w:hAnsi="宋体" w:cs="宋体"/>
          <w:b/>
          <w:bCs/>
          <w:sz w:val="24"/>
          <w:szCs w:val="24"/>
        </w:rPr>
        <w:t>十七、公司子公司重大事项</w:t>
      </w:r>
      <w:bookmarkEnd w:id="128"/>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129" w:name="_Toc989017"/>
      <w:r>
        <w:rPr>
          <w:rFonts w:ascii="宋体" w:eastAsia="宋体" w:hAnsi="宋体" w:cs="宋体"/>
          <w:b/>
          <w:bCs/>
          <w:sz w:val="32"/>
          <w:szCs w:val="32"/>
        </w:rPr>
        <w:lastRenderedPageBreak/>
        <w:t>第七节 股份变动及股东情况</w:t>
      </w:r>
      <w:bookmarkEnd w:id="129"/>
    </w:p>
    <w:p w:rsidR="0080594E" w:rsidRDefault="000C39A3">
      <w:pPr>
        <w:pStyle w:val="2"/>
        <w:spacing w:before="300" w:after="300" w:line="320" w:lineRule="exact"/>
        <w:rPr>
          <w:rFonts w:ascii="宋体" w:eastAsia="宋体" w:hAnsi="宋体" w:cs="宋体"/>
          <w:b/>
          <w:bCs/>
          <w:sz w:val="24"/>
          <w:szCs w:val="24"/>
        </w:rPr>
      </w:pPr>
      <w:bookmarkStart w:id="130" w:name="_Toc989018"/>
      <w:r>
        <w:rPr>
          <w:rFonts w:ascii="宋体" w:eastAsia="宋体" w:hAnsi="宋体" w:cs="宋体"/>
          <w:b/>
          <w:bCs/>
          <w:sz w:val="24"/>
          <w:szCs w:val="24"/>
        </w:rPr>
        <w:t>一、股份变动情况</w:t>
      </w:r>
      <w:bookmarkEnd w:id="130"/>
    </w:p>
    <w:p w:rsidR="0080594E" w:rsidRDefault="000C39A3">
      <w:pPr>
        <w:pStyle w:val="3"/>
        <w:spacing w:line="280" w:lineRule="exact"/>
        <w:jc w:val="left"/>
        <w:rPr>
          <w:rFonts w:ascii="宋体" w:hAnsi="宋体" w:cs="宋体"/>
          <w:b/>
          <w:bCs/>
        </w:rPr>
      </w:pPr>
      <w:bookmarkStart w:id="131" w:name="_Toc989019"/>
      <w:r>
        <w:rPr>
          <w:rFonts w:ascii="宋体" w:hAnsi="宋体" w:cs="宋体"/>
          <w:b/>
          <w:bCs/>
        </w:rPr>
        <w:t>1、股份变动情况</w:t>
      </w:r>
      <w:bookmarkEnd w:id="13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3"/>
        <w:gridCol w:w="964"/>
        <w:gridCol w:w="964"/>
        <w:gridCol w:w="964"/>
        <w:gridCol w:w="964"/>
        <w:gridCol w:w="964"/>
        <w:gridCol w:w="964"/>
        <w:gridCol w:w="964"/>
        <w:gridCol w:w="964"/>
        <w:gridCol w:w="964"/>
      </w:tblGrid>
      <w:tr w:rsidR="0080594E" w:rsidTr="00E06367">
        <w:trPr>
          <w:trHeight w:val="240"/>
        </w:trPr>
        <w:tc>
          <w:tcPr>
            <w:tcW w:w="9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本次变动前</w:t>
            </w:r>
          </w:p>
        </w:tc>
        <w:tc>
          <w:tcPr>
            <w:tcW w:w="4820"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本次变动增减（＋，－）</w:t>
            </w:r>
          </w:p>
        </w:tc>
        <w:tc>
          <w:tcPr>
            <w:tcW w:w="192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本次变动后</w:t>
            </w:r>
          </w:p>
        </w:tc>
      </w:tr>
      <w:tr w:rsidR="0080594E" w:rsidTr="00E06367">
        <w:trPr>
          <w:trHeight w:val="240"/>
        </w:trPr>
        <w:tc>
          <w:tcPr>
            <w:tcW w:w="9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发行新股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送股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公积金转股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一、有限售条件股份</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288,806,308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76.22%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-17,987,508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-17,987,508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270,818,800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71.47%</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1、国家持股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2、国有法人持股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15,807</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-15,807</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-15,807</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3、其他内资持股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13,123,266</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3.46%</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-13,123,266</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-13,123,266</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其中：境内法人持股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13,106,387</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3.46%</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-13,106,387</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-13,106,387</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境内自然人持股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16,879</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-16,879</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-16,879</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4、外资持股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270,844,552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71.48%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-25,752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-25,752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270,818,800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71.47%</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其中：境外法人持股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90,297,362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23.83%</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-25,362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-25,362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90,272,000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23.82%</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境外自然人持股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180,547,190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47.65%</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47.65%</w:t>
            </w:r>
          </w:p>
        </w:tc>
      </w:tr>
      <w:tr w:rsidR="00E06367" w:rsidTr="00E06367">
        <w:trPr>
          <w:trHeight w:val="240"/>
        </w:trPr>
        <w:tc>
          <w:tcPr>
            <w:tcW w:w="963"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ind w:firstLineChars="100" w:firstLine="180"/>
              <w:rPr>
                <w:rFonts w:ascii="宋体" w:eastAsia="宋体" w:hAnsi="宋体" w:cs="宋体"/>
                <w:sz w:val="18"/>
                <w:szCs w:val="18"/>
              </w:rPr>
            </w:pPr>
            <w:r>
              <w:rPr>
                <w:rFonts w:ascii="宋体" w:eastAsia="宋体" w:hAnsi="宋体" w:cs="宋体" w:hint="eastAsia"/>
                <w:sz w:val="18"/>
                <w:szCs w:val="18"/>
              </w:rPr>
              <w:t>5、</w:t>
            </w:r>
            <w:r>
              <w:rPr>
                <w:rFonts w:ascii="宋体" w:eastAsia="宋体" w:hAnsi="宋体" w:cs="宋体"/>
                <w:sz w:val="18"/>
                <w:szCs w:val="18"/>
              </w:rPr>
              <w:t>基金理财产品等</w:t>
            </w: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r>
              <w:rPr>
                <w:rFonts w:ascii="宋体" w:eastAsia="宋体" w:hAnsi="宋体" w:cs="宋体"/>
                <w:sz w:val="18"/>
                <w:szCs w:val="18"/>
              </w:rPr>
              <w:t>4,822,683</w:t>
            </w: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r>
              <w:rPr>
                <w:rFonts w:ascii="宋体" w:eastAsia="宋体" w:hAnsi="宋体" w:cs="宋体"/>
                <w:sz w:val="18"/>
                <w:szCs w:val="18"/>
              </w:rPr>
              <w:t>1.27%</w:t>
            </w: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r>
              <w:rPr>
                <w:rFonts w:ascii="宋体" w:eastAsia="宋体" w:hAnsi="宋体" w:cs="宋体"/>
                <w:sz w:val="18"/>
                <w:szCs w:val="18"/>
              </w:rPr>
              <w:t>-4,822,683</w:t>
            </w: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r>
              <w:rPr>
                <w:rFonts w:ascii="宋体" w:eastAsia="宋体" w:hAnsi="宋体" w:cs="宋体"/>
                <w:sz w:val="18"/>
                <w:szCs w:val="18"/>
              </w:rPr>
              <w:t>-4,822,683</w:t>
            </w: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64" w:type="dxa"/>
            <w:tcBorders>
              <w:top w:val="single" w:sz="2" w:space="0" w:color="auto"/>
              <w:left w:val="single" w:sz="2" w:space="0" w:color="auto"/>
              <w:bottom w:val="single" w:sz="2" w:space="0" w:color="auto"/>
              <w:right w:val="single" w:sz="2" w:space="0" w:color="auto"/>
            </w:tcBorders>
            <w:vAlign w:val="center"/>
          </w:tcPr>
          <w:p w:rsidR="00E06367" w:rsidRDefault="00E06367" w:rsidP="009E2405">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二、无限售条件股份</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90,105,692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23.78%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17,987,508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17,987,508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108,093,200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28.53%</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1、人民币普通股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90,105,692</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23.78%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17,987,508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17,987,508</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108,093,200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28.53%</w:t>
            </w: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2、境内上市的外资股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3、境外上市的</w:t>
            </w:r>
            <w:r>
              <w:rPr>
                <w:rFonts w:ascii="宋体" w:eastAsia="宋体" w:hAnsi="宋体" w:cs="宋体"/>
                <w:sz w:val="18"/>
                <w:szCs w:val="18"/>
              </w:rPr>
              <w:lastRenderedPageBreak/>
              <w:t>外资股</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4、其他</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rsidTr="00E06367">
        <w:trPr>
          <w:trHeight w:val="240"/>
        </w:trPr>
        <w:tc>
          <w:tcPr>
            <w:tcW w:w="96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三、股份总数</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w:t>
            </w:r>
          </w:p>
        </w:tc>
        <w:tc>
          <w:tcPr>
            <w:tcW w:w="964"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股份变动的原因</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ind w:firstLine="360"/>
        <w:jc w:val="both"/>
        <w:divId w:val="1097871173"/>
      </w:pPr>
      <w:r>
        <w:rPr>
          <w:rFonts w:hint="eastAsia"/>
          <w:sz w:val="18"/>
          <w:szCs w:val="18"/>
        </w:rPr>
        <w:t>2022年1月20日，公司首次公开发行网下配售限售股上市流通，股份数量为4,894,308股，占发行后总股本的1.2917%。</w:t>
      </w:r>
    </w:p>
    <w:p w:rsidR="000C39A3" w:rsidRDefault="000C39A3">
      <w:pPr>
        <w:pStyle w:val="a4"/>
        <w:ind w:firstLine="360"/>
        <w:jc w:val="both"/>
        <w:divId w:val="1097871173"/>
      </w:pPr>
      <w:r>
        <w:rPr>
          <w:rFonts w:hint="eastAsia"/>
          <w:sz w:val="18"/>
          <w:szCs w:val="18"/>
        </w:rPr>
        <w:t xml:space="preserve">2022年7月20日，公司首次公开发行前已发行的部分股份上市流通，股份数量为 </w:t>
      </w:r>
      <w:r>
        <w:rPr>
          <w:rFonts w:ascii="Times New Roman" w:hAnsi="Times New Roman" w:cs="Times New Roman"/>
          <w:sz w:val="18"/>
          <w:szCs w:val="18"/>
        </w:rPr>
        <w:t>13,093,200</w:t>
      </w:r>
      <w:r>
        <w:rPr>
          <w:rFonts w:hint="eastAsia"/>
          <w:sz w:val="18"/>
          <w:szCs w:val="18"/>
        </w:rPr>
        <w:t xml:space="preserve"> 股，占发行后总股本的3</w:t>
      </w:r>
      <w:r>
        <w:rPr>
          <w:rFonts w:ascii="Times New Roman" w:hAnsi="Times New Roman" w:cs="Times New Roman"/>
          <w:sz w:val="18"/>
          <w:szCs w:val="18"/>
        </w:rPr>
        <w:t>.4555</w:t>
      </w:r>
      <w:r>
        <w:rPr>
          <w:rFonts w:hint="eastAsia"/>
          <w:sz w:val="18"/>
          <w:szCs w:val="18"/>
        </w:rPr>
        <w:t>%。 </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股份变动的批准情况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C39A3" w:rsidRDefault="000C39A3">
      <w:pPr>
        <w:pStyle w:val="a4"/>
        <w:ind w:firstLine="360"/>
        <w:jc w:val="both"/>
        <w:divId w:val="144442939"/>
      </w:pPr>
      <w:r>
        <w:rPr>
          <w:rFonts w:hint="eastAsia"/>
          <w:sz w:val="18"/>
          <w:szCs w:val="18"/>
        </w:rPr>
        <w:t>公司于2021年7月20日在深圳证券交易所创业板上市，首次公开发行网下配售限售股的限售期为6个月，经中国证券登记结算有限公司深圳分公司及深圳证券交易所审核批准，公司7,703名首次公开发行网下配售限售股股东持有的限售股份共4,894,308股，占发行后总股本的1.2917% ，于2022年1月20日上市流通。</w:t>
      </w:r>
    </w:p>
    <w:p w:rsidR="000C39A3" w:rsidRDefault="000C39A3">
      <w:pPr>
        <w:pStyle w:val="a4"/>
        <w:ind w:firstLine="360"/>
        <w:jc w:val="both"/>
        <w:divId w:val="144442939"/>
      </w:pPr>
      <w:r>
        <w:rPr>
          <w:rFonts w:hint="eastAsia"/>
          <w:sz w:val="18"/>
          <w:szCs w:val="18"/>
        </w:rPr>
        <w:t>公司于2021年7月20日在深圳证券交易所创业板上市，首次公开发行前已发行的部分股份限售股的限售期为12个月，经中国证券登记结算有限公司深圳分公司及深圳证券交易所审核批准，公司3名首次公开发行前限售股股东持有的限售股份共</w:t>
      </w:r>
      <w:r>
        <w:rPr>
          <w:rFonts w:ascii="Times New Roman" w:hAnsi="Times New Roman" w:cs="Times New Roman"/>
          <w:sz w:val="18"/>
          <w:szCs w:val="18"/>
        </w:rPr>
        <w:t>13,093,200</w:t>
      </w:r>
      <w:r>
        <w:rPr>
          <w:rFonts w:hint="eastAsia"/>
          <w:sz w:val="18"/>
          <w:szCs w:val="18"/>
        </w:rPr>
        <w:t>股，占发行后总股本的3</w:t>
      </w:r>
      <w:r>
        <w:rPr>
          <w:rFonts w:ascii="Times New Roman" w:hAnsi="Times New Roman" w:cs="Times New Roman"/>
          <w:sz w:val="18"/>
          <w:szCs w:val="18"/>
        </w:rPr>
        <w:t>.4555</w:t>
      </w:r>
      <w:r>
        <w:rPr>
          <w:rFonts w:hint="eastAsia"/>
          <w:sz w:val="18"/>
          <w:szCs w:val="18"/>
        </w:rPr>
        <w:t>% ，于2022年7月20日上市流通。</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股份变动的过户情况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股份变动对最近一年和最近一期基本每股收益和稀释每股收益、归属于公司普通股股东的每股净资产等财务指标的影响</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公司认为必要或证券监管机构要求披露的其他内容</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132" w:name="_Toc989020"/>
      <w:r>
        <w:rPr>
          <w:rFonts w:ascii="宋体" w:hAnsi="宋体" w:cs="宋体"/>
          <w:b/>
          <w:bCs/>
        </w:rPr>
        <w:t>2、限售股份变动情况</w:t>
      </w:r>
      <w:bookmarkEnd w:id="132"/>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期初限售股数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本期增加限售股数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本期解除限售股数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期末限售股数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限售原因</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解除限售日期</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首发前限售股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2024-07-20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90,272,000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90,272,000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首发前限售股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2024-07-20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厦门惠福资本投资合伙企业（有限合伙）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4,729,200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4,729,200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首发前限售股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2022-07-20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厦门福瑞高科投资合伙企业（有限合伙）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4,452,000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4,452,000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首发前限售股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2022-07-20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厦门发富投资合伙企业（有限合伙）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3,912,000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3,912,000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首发前限售股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2022-07-20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网下发行限售股份</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4,894,308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4,894,308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首发后限售股，网下配售限售部分</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2022-01-20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288,806,308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17,987,508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270,818,800</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80594E" w:rsidRDefault="000C39A3">
      <w:pPr>
        <w:pStyle w:val="2"/>
        <w:spacing w:before="300" w:after="300" w:line="320" w:lineRule="exact"/>
        <w:rPr>
          <w:rFonts w:ascii="宋体" w:eastAsia="宋体" w:hAnsi="宋体" w:cs="宋体"/>
          <w:b/>
          <w:bCs/>
          <w:sz w:val="24"/>
          <w:szCs w:val="24"/>
        </w:rPr>
      </w:pPr>
      <w:bookmarkStart w:id="133" w:name="_Toc989021"/>
      <w:r>
        <w:rPr>
          <w:rFonts w:ascii="宋体" w:eastAsia="宋体" w:hAnsi="宋体" w:cs="宋体"/>
          <w:b/>
          <w:bCs/>
          <w:sz w:val="24"/>
          <w:szCs w:val="24"/>
        </w:rPr>
        <w:t>二、证券发行与上市情况</w:t>
      </w:r>
      <w:bookmarkEnd w:id="133"/>
    </w:p>
    <w:p w:rsidR="0080594E" w:rsidRDefault="000C39A3">
      <w:pPr>
        <w:pStyle w:val="3"/>
        <w:spacing w:line="280" w:lineRule="exact"/>
        <w:jc w:val="left"/>
        <w:rPr>
          <w:rFonts w:ascii="宋体" w:hAnsi="宋体" w:cs="宋体"/>
          <w:b/>
          <w:bCs/>
        </w:rPr>
      </w:pPr>
      <w:bookmarkStart w:id="134" w:name="_Toc989022"/>
      <w:r>
        <w:rPr>
          <w:rFonts w:ascii="宋体" w:hAnsi="宋体" w:cs="宋体"/>
          <w:b/>
          <w:bCs/>
        </w:rPr>
        <w:t>1、报告期内证券发行（不含优先股）情况</w:t>
      </w:r>
      <w:bookmarkEnd w:id="134"/>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135" w:name="_Toc989023"/>
      <w:r>
        <w:rPr>
          <w:rFonts w:ascii="宋体" w:hAnsi="宋体" w:cs="宋体"/>
          <w:b/>
          <w:bCs/>
        </w:rPr>
        <w:t>2、公司股份总数及股东结构的变动、公司资产和负债结构的变动情况说明</w:t>
      </w:r>
      <w:bookmarkEnd w:id="135"/>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136" w:name="_Toc989024"/>
      <w:r>
        <w:rPr>
          <w:rFonts w:ascii="宋体" w:hAnsi="宋体" w:cs="宋体"/>
          <w:b/>
          <w:bCs/>
        </w:rPr>
        <w:t>3、现存的内部职工股情况</w:t>
      </w:r>
      <w:bookmarkEnd w:id="136"/>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37" w:name="_Toc989025"/>
      <w:r>
        <w:rPr>
          <w:rFonts w:ascii="宋体" w:eastAsia="宋体" w:hAnsi="宋体" w:cs="宋体"/>
          <w:b/>
          <w:bCs/>
          <w:sz w:val="24"/>
          <w:szCs w:val="24"/>
        </w:rPr>
        <w:t>三、股东和实际控制人情况</w:t>
      </w:r>
      <w:bookmarkEnd w:id="137"/>
    </w:p>
    <w:p w:rsidR="0080594E" w:rsidRDefault="000C39A3">
      <w:pPr>
        <w:pStyle w:val="3"/>
        <w:spacing w:line="280" w:lineRule="exact"/>
        <w:jc w:val="left"/>
        <w:rPr>
          <w:rFonts w:ascii="宋体" w:hAnsi="宋体" w:cs="宋体"/>
          <w:b/>
          <w:bCs/>
        </w:rPr>
      </w:pPr>
      <w:bookmarkStart w:id="138" w:name="_Toc989026"/>
      <w:r>
        <w:rPr>
          <w:rFonts w:ascii="宋体" w:hAnsi="宋体" w:cs="宋体"/>
          <w:b/>
          <w:bCs/>
        </w:rPr>
        <w:t>1、公司股东数量及持股情况</w:t>
      </w:r>
      <w:bookmarkEnd w:id="138"/>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7"/>
        <w:gridCol w:w="876"/>
        <w:gridCol w:w="876"/>
        <w:gridCol w:w="876"/>
        <w:gridCol w:w="876"/>
        <w:gridCol w:w="877"/>
        <w:gridCol w:w="876"/>
        <w:gridCol w:w="877"/>
        <w:gridCol w:w="1753"/>
      </w:tblGrid>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报告期末普通股股东总数</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20,551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年度报告披露日前上一月末普通股股东总数</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19,292</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报告期末表决权恢复的优先股股东总数（如有）（参见注9）</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年度报告披露日前上一月末表决权恢复的优先股股东总数（如有）（参见注9）</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持有特别表决权股份的股东总数（如有）</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80594E">
        <w:trPr>
          <w:trHeight w:val="240"/>
        </w:trPr>
        <w:tc>
          <w:tcPr>
            <w:tcW w:w="9639" w:type="dxa"/>
            <w:gridSpan w:val="10"/>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持股5%以上的股东或前10名股东持股情况</w:t>
            </w:r>
          </w:p>
        </w:tc>
      </w:tr>
      <w:tr w:rsidR="0080594E">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股东性质</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报告期末持股数量</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报告期内增减变动情况</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持有有限售条件的股份数量</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持有无限售条件的股份数量</w:t>
            </w:r>
          </w:p>
        </w:tc>
        <w:tc>
          <w:tcPr>
            <w:tcW w:w="3505"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质押、标记或冻结情况</w:t>
            </w:r>
          </w:p>
        </w:tc>
      </w:tr>
      <w:tr w:rsidR="0080594E">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股份状态</w:t>
            </w:r>
          </w:p>
        </w:tc>
        <w:tc>
          <w:tcPr>
            <w:tcW w:w="175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境外自然人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47.65%</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180,546,800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境外法人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23.82%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90,272,000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90,272,000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厦门福瑞高科</w:t>
            </w:r>
            <w:r>
              <w:rPr>
                <w:rFonts w:ascii="宋体" w:eastAsia="宋体" w:hAnsi="宋体" w:cs="宋体"/>
                <w:sz w:val="18"/>
                <w:szCs w:val="18"/>
              </w:rPr>
              <w:lastRenderedPageBreak/>
              <w:t>投资合伙企业（有限合伙）</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境内非国有法</w:t>
            </w:r>
            <w:r>
              <w:rPr>
                <w:rFonts w:ascii="宋体" w:eastAsia="宋体" w:hAnsi="宋体" w:cs="宋体"/>
                <w:sz w:val="18"/>
                <w:szCs w:val="18"/>
              </w:rPr>
              <w:lastRenderedPageBreak/>
              <w:t>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1.10%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4,170,800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-281,200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4,170,800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厦门惠福资本投资合伙企业（有限合伙）</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境内非国有法人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0.97%</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3,691,100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-10,381,100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3,691,100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厦门发富投资合伙企业（有限合伙）</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境内非国有法人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0.81%</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3,066,000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-846,000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3,066,000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叶国林</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0.26%</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969,500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747,400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969,500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叶光耀</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0.14%</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533,294</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未知</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533,294</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唐开健</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0.13%</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未知</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陈峰</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0.12%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未知</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邰崇荣</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0.12%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449,900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未知</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449,900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战略投资者或一般法人因配售新股成为前10名股东的情况（如有）（参见注4）</w:t>
            </w:r>
          </w:p>
        </w:tc>
        <w:tc>
          <w:tcPr>
            <w:tcW w:w="7886" w:type="dxa"/>
            <w:gridSpan w:val="8"/>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上述股东关联关系或一致行动的说明</w:t>
            </w:r>
          </w:p>
        </w:tc>
        <w:tc>
          <w:tcPr>
            <w:tcW w:w="7886" w:type="dxa"/>
            <w:gridSpan w:val="8"/>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韩萤焕通过Pacific Goal持有太平洋捷豹控股有限公司60%的股权，为太平洋捷豹控股有限公司的实际控制人，进而与太平洋捷豹控股有限公司之间存在一致行动关系。厦门惠福资本投资合伙企业（有限合伙）、厦门福瑞高科投资合伙企业（有限合伙）、厦门发富投资合伙企业（有限合伙）的部分有限合伙人为公司的董事、监事、高级管理人员，执行事务合伙人均为润来（厦门）投资管理有限公司，润来（厦门）投资管理有限公司的股东为公司的监事、高级管理人员。除上述情况外，未知其他股东之间是否存在关联关系或一致行动关系。</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上述股东涉及委托/受托表决权、放弃表决权情况的说明</w:t>
            </w:r>
          </w:p>
        </w:tc>
        <w:tc>
          <w:tcPr>
            <w:tcW w:w="7886" w:type="dxa"/>
            <w:gridSpan w:val="8"/>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前10名股东中存在回购专户的特别说明（如有）（参见注10）</w:t>
            </w:r>
          </w:p>
        </w:tc>
        <w:tc>
          <w:tcPr>
            <w:tcW w:w="7886" w:type="dxa"/>
            <w:gridSpan w:val="8"/>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r w:rsidR="0080594E">
        <w:trPr>
          <w:trHeight w:val="240"/>
        </w:trPr>
        <w:tc>
          <w:tcPr>
            <w:tcW w:w="9639" w:type="dxa"/>
            <w:gridSpan w:val="10"/>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前10名无限售条件股东持股情况</w:t>
            </w:r>
          </w:p>
        </w:tc>
      </w:tr>
      <w:tr w:rsidR="0080594E">
        <w:trPr>
          <w:trHeight w:val="240"/>
        </w:trPr>
        <w:tc>
          <w:tcPr>
            <w:tcW w:w="1753"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4381" w:type="dxa"/>
            <w:gridSpan w:val="5"/>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报告期末持有无限售条件股份数量</w:t>
            </w:r>
          </w:p>
        </w:tc>
        <w:tc>
          <w:tcPr>
            <w:tcW w:w="3505"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股份种类</w:t>
            </w:r>
          </w:p>
        </w:tc>
      </w:tr>
      <w:tr w:rsidR="0080594E">
        <w:trPr>
          <w:trHeight w:val="240"/>
        </w:trPr>
        <w:tc>
          <w:tcPr>
            <w:tcW w:w="1753"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4381" w:type="dxa"/>
            <w:gridSpan w:val="5"/>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股份种类</w:t>
            </w:r>
          </w:p>
        </w:tc>
        <w:tc>
          <w:tcPr>
            <w:tcW w:w="175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厦门福瑞高科投资合伙企业（有限合伙）</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4,170,800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4,170,800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厦门惠福资本投资合伙企业（有限合伙）</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3,691,100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3,691,100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厦门发富投资合伙企业（有限合伙）</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3,066,000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3,066,000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叶国林</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969,500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969,500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叶光耀</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533,294</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533,294</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唐开健</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500,000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陈峰</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460,000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邰崇荣</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449,900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449,900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张俊峰</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449,000</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张肖静</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373,358</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75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373,358</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前10名无限售流通股股东之间，以及前10名无限售流通股股东和前10名股东之间关联关系或一致行动的说明</w:t>
            </w:r>
          </w:p>
        </w:tc>
        <w:tc>
          <w:tcPr>
            <w:tcW w:w="7886" w:type="dxa"/>
            <w:gridSpan w:val="8"/>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惠福资本投资合伙企业（有限合伙）、厦门福瑞高科投资合伙企业（有限合伙）、厦门发富投资合伙企业（有限合伙）的部分有限合伙人为公司的董事、监事、高级管理人员，执行事务合伙人均为润来（厦门）投资管理有限公司，润来（厦门）投资管理有限公司的股东为公司的监事、高级管理人员。除上述情况外，未知其他股东之间是否存在关联关系或一致行动关系。</w:t>
            </w:r>
          </w:p>
        </w:tc>
      </w:tr>
      <w:tr w:rsidR="0080594E">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参与融资融券业务股东情况说明（如有）（参见注5）</w:t>
            </w:r>
          </w:p>
        </w:tc>
        <w:tc>
          <w:tcPr>
            <w:tcW w:w="7886" w:type="dxa"/>
            <w:gridSpan w:val="8"/>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司股东叶国林通过普通证券账户持有71,300股,通过申万宏源证券有限公司客户信用交易担保证券账户持有898,200股，实际合计持有969,500股。公司股东陈峰通过普通证券账户持有0股,通过申万宏源证券有限公司客户信用交易担保证券账户持有460,000股，实际合计持有460,000股。</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公司是否具有表决权差异安排</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公司前10名普通股股东、前10名无限售条件普通股股东在报告期内是否进行约定购回交易</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公司前10名普通股股东、前10名无限售条件普通股股东在报告期内未进行约定购回交易。</w:t>
      </w:r>
    </w:p>
    <w:p w:rsidR="0080594E" w:rsidRDefault="000C39A3">
      <w:pPr>
        <w:pStyle w:val="3"/>
        <w:spacing w:line="280" w:lineRule="exact"/>
        <w:jc w:val="left"/>
        <w:rPr>
          <w:rFonts w:ascii="宋体" w:hAnsi="宋体" w:cs="宋体"/>
          <w:b/>
          <w:bCs/>
        </w:rPr>
      </w:pPr>
      <w:bookmarkStart w:id="139" w:name="_Toc989027"/>
      <w:r>
        <w:rPr>
          <w:rFonts w:ascii="宋体" w:hAnsi="宋体" w:cs="宋体"/>
          <w:b/>
          <w:bCs/>
        </w:rPr>
        <w:t>2、公司控股股东情况</w:t>
      </w:r>
      <w:bookmarkEnd w:id="139"/>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控股股东性质：外商控股</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控股股东类型：自然人</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控股股东姓名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国籍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是否取得其他国家或地区居留权</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中国台湾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主要职业及职务</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韩萤焕现任厦门东亚机械工业股份有限公司董事长</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报告期内控股和参股的其他境内外上市公司的股权情况</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控股股东报告期内变更</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公司报告期控股股东未发生变更。</w:t>
      </w:r>
    </w:p>
    <w:p w:rsidR="0080594E" w:rsidRDefault="000C39A3">
      <w:pPr>
        <w:pStyle w:val="3"/>
        <w:spacing w:line="280" w:lineRule="exact"/>
        <w:jc w:val="left"/>
        <w:rPr>
          <w:rFonts w:ascii="宋体" w:hAnsi="宋体" w:cs="宋体"/>
          <w:b/>
          <w:bCs/>
        </w:rPr>
      </w:pPr>
      <w:bookmarkStart w:id="140" w:name="_Toc989028"/>
      <w:r>
        <w:rPr>
          <w:rFonts w:ascii="宋体" w:hAnsi="宋体" w:cs="宋体"/>
          <w:b/>
          <w:bCs/>
        </w:rPr>
        <w:t>3、公司实际控制人及其一致行动人</w:t>
      </w:r>
      <w:bookmarkEnd w:id="140"/>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实际控制人性质：境外自然人</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实际控制人类型：自然人</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实际控制人姓名</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与实际控制人关系</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国籍</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是否取得其他国家或地区居留权</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本人</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中国台湾</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罗秀英</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本人</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中国台湾</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韩文浩</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本人</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中国台湾</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一致行动（含协议、亲属、同一控制）</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中国香港</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韩文翰</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一致行动（含协议、亲属、同一控制）</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中国台湾</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韩文欣</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一致行动（含协议、亲属、</w:t>
            </w:r>
            <w:r>
              <w:rPr>
                <w:rFonts w:ascii="宋体" w:eastAsia="宋体" w:hAnsi="宋体" w:cs="宋体"/>
                <w:sz w:val="18"/>
                <w:szCs w:val="18"/>
              </w:rPr>
              <w:lastRenderedPageBreak/>
              <w:t>同一控制）</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中国台湾</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主要职业及职务</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现任厦门东亚机械工业股份有限公司董事长；罗秀英现任厦门东亚机械工业股份有限公司董事、副总经理；韩文浩现任厦门东亚机械工业股份有限公司董事、总经理、董事会秘书；韩文翰任厦门东亚机械工业股份有限公司核心技术人员；韩文欣任厦门东亚机械工业股份有限公司董事长助理</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过去10年曾控股的境内外上市公司情况</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实际控制人报告期内变更</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公司报告期实际控制人未发生变更。</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公司与实际控制人之间的产权及控制关系的方框图</w:t>
      </w:r>
    </w:p>
    <w:p w:rsidR="0080594E" w:rsidRDefault="000C39A3">
      <w:pPr>
        <w:spacing w:before="40" w:after="40" w:line="0" w:lineRule="atLeast"/>
        <w:rPr>
          <w:rFonts w:ascii="Times New Roman" w:eastAsia="宋体" w:hAnsi="Times New Roman" w:cs="Times New Roman"/>
        </w:rPr>
      </w:pPr>
      <w:r>
        <w:rPr>
          <w:rFonts w:ascii="Times New Roman" w:eastAsia="宋体" w:hAnsi="Times New Roman" w:cs="Times New Roman"/>
          <w:noProof/>
        </w:rPr>
        <w:drawing>
          <wp:inline distT="0" distB="0" distL="0" distR="0" wp14:anchorId="2CAE2343" wp14:editId="2F8B8AD9">
            <wp:extent cx="3500438" cy="2566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6" cstate="print">
                      <a:extLst/>
                    </a:blip>
                    <a:stretch>
                      <a:fillRect/>
                    </a:stretch>
                  </pic:blipFill>
                  <pic:spPr>
                    <a:xfrm>
                      <a:off x="0" y="0"/>
                      <a:ext cx="3500438" cy="2566987"/>
                    </a:xfrm>
                    <a:prstGeom prst="rect">
                      <a:avLst/>
                    </a:prstGeom>
                  </pic:spPr>
                </pic:pic>
              </a:graphicData>
            </a:graphic>
          </wp:inline>
        </w:drawing>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实际控制人通过信托或其他资产管理方式控制公司</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141" w:name="_Toc989029"/>
      <w:r>
        <w:rPr>
          <w:rFonts w:ascii="宋体" w:hAnsi="宋体" w:cs="宋体"/>
          <w:b/>
          <w:bCs/>
        </w:rPr>
        <w:t>4、公司控股股东或第一大股东及其一致行动人累计质押股份数量占其所持公司股份数量比例达到80%</w:t>
      </w:r>
      <w:bookmarkEnd w:id="141"/>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142" w:name="_Toc989030"/>
      <w:r>
        <w:rPr>
          <w:rFonts w:ascii="宋体" w:hAnsi="宋体" w:cs="宋体"/>
          <w:b/>
          <w:bCs/>
        </w:rPr>
        <w:t>5、其他持股在10%以上的法人股东</w:t>
      </w:r>
      <w:bookmarkEnd w:id="142"/>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法人股东名称</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法定代表人/单位负责人</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成立日期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注册资本</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主要经营业务或管理活动</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韩萤焕</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2015年07月23日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 万港币</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股权投资</w:t>
            </w:r>
          </w:p>
        </w:tc>
      </w:tr>
    </w:tbl>
    <w:p w:rsidR="0080594E" w:rsidRDefault="000C39A3">
      <w:pPr>
        <w:pStyle w:val="3"/>
        <w:spacing w:line="280" w:lineRule="exact"/>
        <w:jc w:val="left"/>
        <w:rPr>
          <w:rFonts w:ascii="宋体" w:hAnsi="宋体" w:cs="宋体"/>
          <w:b/>
          <w:bCs/>
        </w:rPr>
      </w:pPr>
      <w:bookmarkStart w:id="143" w:name="_Toc989031"/>
      <w:r>
        <w:rPr>
          <w:rFonts w:ascii="宋体" w:hAnsi="宋体" w:cs="宋体"/>
          <w:b/>
          <w:bCs/>
        </w:rPr>
        <w:t>6、控股股东、实际控制人、重组方及其他承诺主体股份限制减持情况</w:t>
      </w:r>
      <w:bookmarkEnd w:id="143"/>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2"/>
        <w:spacing w:before="300" w:after="300" w:line="320" w:lineRule="exact"/>
        <w:rPr>
          <w:rFonts w:ascii="宋体" w:eastAsia="宋体" w:hAnsi="宋体" w:cs="宋体"/>
          <w:b/>
          <w:bCs/>
          <w:sz w:val="24"/>
          <w:szCs w:val="24"/>
        </w:rPr>
      </w:pPr>
      <w:bookmarkStart w:id="144" w:name="_Toc989032"/>
      <w:r>
        <w:rPr>
          <w:rFonts w:ascii="宋体" w:eastAsia="宋体" w:hAnsi="宋体" w:cs="宋体"/>
          <w:b/>
          <w:bCs/>
          <w:sz w:val="24"/>
          <w:szCs w:val="24"/>
        </w:rPr>
        <w:t>四、股份回购在报告期的具体实施情况</w:t>
      </w:r>
      <w:bookmarkEnd w:id="144"/>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股份回购的实施进展情况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采用集中竞价交易方式减持回购股份的实施进展情况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145" w:name="_Toc989033"/>
      <w:r>
        <w:rPr>
          <w:rFonts w:ascii="宋体" w:eastAsia="宋体" w:hAnsi="宋体" w:cs="宋体"/>
          <w:b/>
          <w:bCs/>
          <w:sz w:val="32"/>
          <w:szCs w:val="32"/>
        </w:rPr>
        <w:lastRenderedPageBreak/>
        <w:t>第八节 优先股相关情况</w:t>
      </w:r>
      <w:bookmarkEnd w:id="145"/>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报告期公司不存在优先股。</w:t>
      </w:r>
    </w:p>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146" w:name="_Toc989034"/>
      <w:r>
        <w:rPr>
          <w:rFonts w:ascii="宋体" w:eastAsia="宋体" w:hAnsi="宋体" w:cs="宋体"/>
          <w:b/>
          <w:bCs/>
          <w:sz w:val="32"/>
          <w:szCs w:val="32"/>
        </w:rPr>
        <w:lastRenderedPageBreak/>
        <w:t>第九节 债券相关情况</w:t>
      </w:r>
      <w:bookmarkEnd w:id="146"/>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r>
        <w:br w:type="page"/>
      </w:r>
    </w:p>
    <w:p w:rsidR="0080594E" w:rsidRDefault="000C39A3">
      <w:pPr>
        <w:pStyle w:val="headingh1"/>
        <w:spacing w:before="340" w:after="330" w:line="773" w:lineRule="exact"/>
        <w:jc w:val="center"/>
        <w:rPr>
          <w:rFonts w:ascii="宋体" w:eastAsia="宋体" w:hAnsi="宋体" w:cs="宋体"/>
          <w:b/>
          <w:bCs/>
          <w:sz w:val="32"/>
          <w:szCs w:val="32"/>
        </w:rPr>
      </w:pPr>
      <w:bookmarkStart w:id="147" w:name="_Toc989035"/>
      <w:r>
        <w:rPr>
          <w:rFonts w:ascii="宋体" w:eastAsia="宋体" w:hAnsi="宋体" w:cs="宋体"/>
          <w:b/>
          <w:bCs/>
          <w:sz w:val="32"/>
          <w:szCs w:val="32"/>
        </w:rPr>
        <w:lastRenderedPageBreak/>
        <w:t>第十节 财务报告</w:t>
      </w:r>
      <w:bookmarkEnd w:id="147"/>
    </w:p>
    <w:p w:rsidR="0080594E" w:rsidRDefault="000C39A3">
      <w:pPr>
        <w:pStyle w:val="2"/>
        <w:spacing w:before="300" w:after="300" w:line="320" w:lineRule="exact"/>
        <w:rPr>
          <w:rFonts w:ascii="宋体" w:eastAsia="宋体" w:hAnsi="宋体" w:cs="宋体"/>
          <w:b/>
          <w:bCs/>
          <w:sz w:val="24"/>
          <w:szCs w:val="24"/>
        </w:rPr>
      </w:pPr>
      <w:bookmarkStart w:id="148" w:name="_Toc989036"/>
      <w:r>
        <w:rPr>
          <w:rFonts w:ascii="宋体" w:eastAsia="宋体" w:hAnsi="宋体" w:cs="宋体"/>
          <w:b/>
          <w:bCs/>
          <w:sz w:val="24"/>
          <w:szCs w:val="24"/>
        </w:rPr>
        <w:t>一、审计报告</w:t>
      </w:r>
      <w:bookmarkEnd w:id="148"/>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审计意见类型</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标准的无保留意见</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审计报告签署日期</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2023年04月25日</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审计机构名称</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容诚会计师事务所(特殊普通合伙)</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审计报告文号</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容诚审字[2023] 361Z0218号</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注册会计师姓名</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邱小娇、林辉钦、李江华</w:t>
            </w:r>
          </w:p>
        </w:tc>
      </w:tr>
    </w:tbl>
    <w:p w:rsidR="0080594E" w:rsidRDefault="000C39A3">
      <w:pPr>
        <w:spacing w:before="100" w:after="100" w:line="240" w:lineRule="exact"/>
        <w:jc w:val="center"/>
        <w:rPr>
          <w:rFonts w:ascii="宋体" w:eastAsia="宋体" w:hAnsi="宋体" w:cs="宋体"/>
          <w:sz w:val="18"/>
          <w:szCs w:val="18"/>
        </w:rPr>
      </w:pPr>
      <w:r>
        <w:rPr>
          <w:rFonts w:ascii="宋体" w:eastAsia="宋体" w:hAnsi="宋体" w:cs="宋体"/>
          <w:sz w:val="18"/>
          <w:szCs w:val="18"/>
        </w:rPr>
        <w:t>审计报告正文</w:t>
      </w:r>
    </w:p>
    <w:p w:rsidR="000C39A3" w:rsidRDefault="000C39A3">
      <w:pPr>
        <w:pStyle w:val="a4"/>
        <w:spacing w:before="0" w:beforeAutospacing="0" w:after="120" w:afterAutospacing="0" w:line="360" w:lineRule="auto"/>
        <w:jc w:val="both"/>
        <w:divId w:val="2142502946"/>
        <w:rPr>
          <w:rFonts w:ascii="Times New Roman" w:hAnsi="Times New Roman" w:cs="Times New Roman"/>
          <w:sz w:val="21"/>
          <w:szCs w:val="21"/>
        </w:rPr>
      </w:pPr>
      <w:r>
        <w:rPr>
          <w:rFonts w:cs="Times New Roman" w:hint="eastAsia"/>
        </w:rPr>
        <w:t xml:space="preserve">厦门东亚机械工业股份有限公司全体股东： </w:t>
      </w:r>
    </w:p>
    <w:p w:rsidR="000C39A3" w:rsidRDefault="000C39A3">
      <w:pPr>
        <w:pStyle w:val="a4"/>
        <w:spacing w:before="0" w:beforeAutospacing="0" w:after="120" w:afterAutospacing="0" w:line="360" w:lineRule="auto"/>
        <w:ind w:firstLine="482"/>
        <w:jc w:val="both"/>
        <w:divId w:val="2142502946"/>
        <w:rPr>
          <w:rFonts w:ascii="Times New Roman" w:hAnsi="Times New Roman" w:cs="Times New Roman"/>
          <w:sz w:val="21"/>
          <w:szCs w:val="21"/>
        </w:rPr>
      </w:pPr>
      <w:r>
        <w:rPr>
          <w:rStyle w:val="a5"/>
          <w:rFonts w:cs="Times New Roman" w:hint="eastAsia"/>
        </w:rPr>
        <w:t>一、审计意见</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我们审计了厦门东亚机械工业股份有限公司（以下简称东亚机械公司）财务报表，包括</w:t>
      </w:r>
      <w:r>
        <w:rPr>
          <w:rFonts w:ascii="Times New Roman" w:hAnsi="Times New Roman" w:cs="Times New Roman"/>
          <w:color w:val="000000"/>
        </w:rPr>
        <w:t>20</w:t>
      </w:r>
      <w:r>
        <w:rPr>
          <w:rFonts w:cs="Times New Roman" w:hint="eastAsia"/>
          <w:color w:val="000000"/>
        </w:rPr>
        <w:t>22年</w:t>
      </w:r>
      <w:r>
        <w:rPr>
          <w:rFonts w:ascii="Times New Roman" w:hAnsi="Times New Roman" w:cs="Times New Roman"/>
          <w:color w:val="000000"/>
        </w:rPr>
        <w:t>12</w:t>
      </w:r>
      <w:r>
        <w:rPr>
          <w:rFonts w:cs="Times New Roman" w:hint="eastAsia"/>
          <w:color w:val="000000"/>
        </w:rPr>
        <w:t>月</w:t>
      </w:r>
      <w:r>
        <w:rPr>
          <w:rFonts w:ascii="Times New Roman" w:hAnsi="Times New Roman" w:cs="Times New Roman"/>
          <w:color w:val="000000"/>
        </w:rPr>
        <w:t>31</w:t>
      </w:r>
      <w:r>
        <w:rPr>
          <w:rFonts w:cs="Times New Roman" w:hint="eastAsia"/>
          <w:color w:val="000000"/>
        </w:rPr>
        <w:t>日的资产负债表，</w:t>
      </w:r>
      <w:r>
        <w:rPr>
          <w:rFonts w:ascii="Times New Roman" w:hAnsi="Times New Roman" w:cs="Times New Roman"/>
          <w:color w:val="000000"/>
        </w:rPr>
        <w:t>20</w:t>
      </w:r>
      <w:r>
        <w:rPr>
          <w:rFonts w:cs="Times New Roman" w:hint="eastAsia"/>
          <w:color w:val="000000"/>
        </w:rPr>
        <w:t>22年度的利润表、现金流量表、所有者权益变动表以及相关财务报表附注。</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我们认为，后附的财务报表在所有重大方面按照企业会计准则的规定编制，公允反映了东亚机械公司</w:t>
      </w:r>
      <w:r>
        <w:rPr>
          <w:rFonts w:ascii="Times New Roman" w:hAnsi="Times New Roman" w:cs="Times New Roman"/>
          <w:color w:val="000000"/>
        </w:rPr>
        <w:t>20</w:t>
      </w:r>
      <w:r>
        <w:rPr>
          <w:rFonts w:cs="Times New Roman" w:hint="eastAsia"/>
          <w:color w:val="000000"/>
        </w:rPr>
        <w:t>22年</w:t>
      </w:r>
      <w:r>
        <w:rPr>
          <w:rFonts w:ascii="Times New Roman" w:hAnsi="Times New Roman" w:cs="Times New Roman"/>
          <w:color w:val="000000"/>
        </w:rPr>
        <w:t>12</w:t>
      </w:r>
      <w:r>
        <w:rPr>
          <w:rFonts w:cs="Times New Roman" w:hint="eastAsia"/>
          <w:color w:val="000000"/>
        </w:rPr>
        <w:t>月</w:t>
      </w:r>
      <w:r>
        <w:rPr>
          <w:rFonts w:ascii="Times New Roman" w:hAnsi="Times New Roman" w:cs="Times New Roman"/>
          <w:color w:val="000000"/>
        </w:rPr>
        <w:t>31</w:t>
      </w:r>
      <w:r>
        <w:rPr>
          <w:rFonts w:cs="Times New Roman" w:hint="eastAsia"/>
          <w:color w:val="000000"/>
        </w:rPr>
        <w:t>日的财务状况以及</w:t>
      </w:r>
      <w:r>
        <w:rPr>
          <w:rFonts w:ascii="Times New Roman" w:hAnsi="Times New Roman" w:cs="Times New Roman"/>
          <w:color w:val="000000"/>
        </w:rPr>
        <w:t>20</w:t>
      </w:r>
      <w:r>
        <w:rPr>
          <w:rFonts w:cs="Times New Roman" w:hint="eastAsia"/>
          <w:color w:val="000000"/>
        </w:rPr>
        <w:t>22年度的经营成果和现金流量。</w:t>
      </w:r>
    </w:p>
    <w:p w:rsidR="000C39A3" w:rsidRDefault="000C39A3">
      <w:pPr>
        <w:pStyle w:val="a4"/>
        <w:spacing w:before="0" w:beforeAutospacing="0" w:after="120" w:afterAutospacing="0" w:line="360" w:lineRule="auto"/>
        <w:ind w:firstLine="482"/>
        <w:jc w:val="both"/>
        <w:divId w:val="2142502946"/>
        <w:rPr>
          <w:rFonts w:ascii="Times New Roman" w:hAnsi="Times New Roman" w:cs="Times New Roman"/>
          <w:sz w:val="21"/>
          <w:szCs w:val="21"/>
        </w:rPr>
      </w:pPr>
      <w:r>
        <w:rPr>
          <w:rStyle w:val="a5"/>
          <w:rFonts w:cs="Times New Roman" w:hint="eastAsia"/>
        </w:rPr>
        <w:t>二、形成审计意见的基础</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我们按照中国注册会计师审计准则的规定执行了审计工作。审计报告的“注册会计师对财务报表审计的责任”部分进一步阐述了我们在这些准则下的责任。按照中国注册会计师职业道德守则，我们独立于东亚机械公司，并履行了职业道德方面的其他责任。我们相信，我们获取的审计证据是充分、适当的，为发表审计意见提供了基础。</w:t>
      </w:r>
    </w:p>
    <w:p w:rsidR="000C39A3" w:rsidRDefault="000C39A3">
      <w:pPr>
        <w:pStyle w:val="a4"/>
        <w:spacing w:before="0" w:beforeAutospacing="0" w:after="120" w:afterAutospacing="0" w:line="360" w:lineRule="auto"/>
        <w:ind w:firstLine="482"/>
        <w:jc w:val="both"/>
        <w:divId w:val="2142502946"/>
        <w:rPr>
          <w:color w:val="000000"/>
        </w:rPr>
      </w:pPr>
      <w:r>
        <w:rPr>
          <w:rStyle w:val="a5"/>
          <w:rFonts w:hint="eastAsia"/>
        </w:rPr>
        <w:t>三、关键审计事项</w:t>
      </w:r>
    </w:p>
    <w:p w:rsidR="000C39A3" w:rsidRDefault="000C39A3">
      <w:pPr>
        <w:pStyle w:val="a4"/>
        <w:spacing w:before="0" w:beforeAutospacing="0" w:after="120" w:afterAutospacing="0" w:line="360" w:lineRule="auto"/>
        <w:ind w:firstLine="480"/>
        <w:jc w:val="both"/>
        <w:divId w:val="2142502946"/>
        <w:rPr>
          <w:color w:val="000000"/>
        </w:rPr>
      </w:pPr>
      <w:r>
        <w:rPr>
          <w:rFonts w:hint="eastAsia"/>
        </w:rPr>
        <w:t>关键审计事项是我们根据职业判断，认为对本期财务报表审计最为重要的事项。这些事项的应对以对财务报表整体进行审计并形成审计意见为背景，我们不对这些事项单独发表意见。</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（一）收入确认</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1、事项描述</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ascii="Times New Roman" w:hAnsi="Times New Roman" w:cs="Times New Roman"/>
          <w:color w:val="000000"/>
        </w:rPr>
        <w:lastRenderedPageBreak/>
        <w:t>2022</w:t>
      </w:r>
      <w:r>
        <w:rPr>
          <w:rFonts w:cs="Times New Roman" w:hint="eastAsia"/>
          <w:color w:val="000000"/>
        </w:rPr>
        <w:t>年度东亚机械公司营业收入为</w:t>
      </w:r>
      <w:r>
        <w:rPr>
          <w:rFonts w:ascii="Times New Roman" w:hAnsi="Times New Roman" w:cs="Times New Roman"/>
          <w:color w:val="000000"/>
        </w:rPr>
        <w:t>79,488.04</w:t>
      </w:r>
      <w:r>
        <w:rPr>
          <w:rFonts w:cs="Times New Roman" w:hint="eastAsia"/>
          <w:color w:val="000000"/>
        </w:rPr>
        <w:t>万元，具体情况参阅财务报表附注五、</w:t>
      </w:r>
      <w:r>
        <w:rPr>
          <w:rFonts w:ascii="Times New Roman" w:hAnsi="Times New Roman" w:cs="Times New Roman"/>
          <w:color w:val="000000"/>
        </w:rPr>
        <w:t>25</w:t>
      </w:r>
      <w:r>
        <w:rPr>
          <w:rFonts w:cs="Times New Roman" w:hint="eastAsia"/>
          <w:color w:val="000000"/>
        </w:rPr>
        <w:t>，附注七、</w:t>
      </w:r>
      <w:r>
        <w:rPr>
          <w:rFonts w:ascii="Times New Roman" w:hAnsi="Times New Roman" w:cs="Times New Roman"/>
          <w:color w:val="000000"/>
        </w:rPr>
        <w:t>29</w:t>
      </w:r>
      <w:r>
        <w:rPr>
          <w:rFonts w:cs="Times New Roman" w:hint="eastAsia"/>
          <w:color w:val="000000"/>
        </w:rPr>
        <w:t>。</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由于东亚机械公司收入金额重大，且为关键业绩指标，我们将收入确认作为关键审计事项。</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2、审计应对</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我们针对收入确认执行的审计程序主要包括：</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（1）了解、评价并测试与营业收入确认相关的内部控制；</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（2）</w:t>
      </w:r>
      <w:r>
        <w:rPr>
          <w:rFonts w:cs="Times New Roman" w:hint="eastAsia"/>
          <w:snapToGrid w:val="0"/>
          <w:color w:val="000000"/>
        </w:rPr>
        <w:t>抽查并核对业务合同的关键条款，</w:t>
      </w:r>
      <w:r>
        <w:rPr>
          <w:rFonts w:cs="Times New Roman" w:hint="eastAsia"/>
          <w:color w:val="000000"/>
        </w:rPr>
        <w:t>评价东亚机械公司收入确认</w:t>
      </w:r>
      <w:r>
        <w:rPr>
          <w:rFonts w:cs="Times New Roman" w:hint="eastAsia"/>
          <w:snapToGrid w:val="0"/>
          <w:color w:val="000000"/>
        </w:rPr>
        <w:t>会计政策</w:t>
      </w:r>
      <w:r>
        <w:rPr>
          <w:rFonts w:cs="Times New Roman" w:hint="eastAsia"/>
          <w:color w:val="000000"/>
        </w:rPr>
        <w:t>是否符合企业会计准则的规定且一贯运用相关政策和方法；</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（3）检查主要客户的企业信息，核实与东亚机械公司是否存在关联方关系；选取样本，</w:t>
      </w:r>
      <w:r>
        <w:rPr>
          <w:rFonts w:cs="Times New Roman" w:hint="eastAsia"/>
          <w:snapToGrid w:val="0"/>
          <w:color w:val="000000"/>
        </w:rPr>
        <w:t>检查与收入确认相关的支持性文件</w:t>
      </w:r>
      <w:r>
        <w:rPr>
          <w:rFonts w:cs="Times New Roman" w:hint="eastAsia"/>
          <w:color w:val="000000"/>
        </w:rPr>
        <w:t>，包括合同、出口报关单、物流与客户签收单据、发票、银行回款单等；</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（4）结合应收账款审计，选取样本对交易金额及应收账款余额实施函证程序，检查与客户的对账记录，核实期后收款情况；</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（5）对收入成本执行分析程序，分析收入异常变动情况、毛利率变动情况、分析收入确认的合理性；</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（6）对收入确认执行截止测试，检查资产负债表日前后的收入确认信息，核对销售物流与签收单据等确认收入是否确认于正确的期间。</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（二）销售返利计提</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1、事项描述</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截至</w:t>
      </w:r>
      <w:r>
        <w:rPr>
          <w:rFonts w:ascii="Times New Roman" w:hAnsi="Times New Roman" w:cs="Times New Roman"/>
          <w:color w:val="000000"/>
        </w:rPr>
        <w:t>2022</w:t>
      </w:r>
      <w:r>
        <w:rPr>
          <w:rFonts w:cs="Times New Roman" w:hint="eastAsia"/>
          <w:color w:val="000000"/>
        </w:rPr>
        <w:t>年</w:t>
      </w:r>
      <w:r>
        <w:rPr>
          <w:rFonts w:ascii="Times New Roman" w:hAnsi="Times New Roman" w:cs="Times New Roman"/>
          <w:color w:val="000000"/>
        </w:rPr>
        <w:t>12</w:t>
      </w:r>
      <w:r>
        <w:rPr>
          <w:rFonts w:cs="Times New Roman" w:hint="eastAsia"/>
          <w:color w:val="000000"/>
        </w:rPr>
        <w:t>月</w:t>
      </w:r>
      <w:r>
        <w:rPr>
          <w:rFonts w:ascii="Times New Roman" w:hAnsi="Times New Roman" w:cs="Times New Roman"/>
          <w:color w:val="000000"/>
        </w:rPr>
        <w:t>31</w:t>
      </w:r>
      <w:r>
        <w:rPr>
          <w:rFonts w:cs="Times New Roman" w:hint="eastAsia"/>
          <w:color w:val="000000"/>
        </w:rPr>
        <w:t>日，东亚机械公司销售返利余额为</w:t>
      </w:r>
      <w:r>
        <w:rPr>
          <w:rFonts w:ascii="Times New Roman" w:hAnsi="Times New Roman" w:cs="Times New Roman"/>
        </w:rPr>
        <w:t>18,597.63</w:t>
      </w:r>
      <w:r>
        <w:rPr>
          <w:rFonts w:cs="Times New Roman" w:hint="eastAsia"/>
        </w:rPr>
        <w:t>万</w:t>
      </w:r>
      <w:r>
        <w:rPr>
          <w:rFonts w:cs="Times New Roman" w:hint="eastAsia"/>
          <w:color w:val="000000"/>
        </w:rPr>
        <w:t>元，具体情况参阅财务报表附注五、22，附注七、</w:t>
      </w:r>
      <w:r>
        <w:rPr>
          <w:rFonts w:ascii="Times New Roman" w:hAnsi="Times New Roman" w:cs="Times New Roman"/>
          <w:color w:val="000000"/>
        </w:rPr>
        <w:t>19</w:t>
      </w:r>
      <w:r>
        <w:rPr>
          <w:rFonts w:cs="Times New Roman" w:hint="eastAsia"/>
          <w:color w:val="000000"/>
        </w:rPr>
        <w:t>。</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由于东亚机械公司销售返利的计提对报表影响重大，且涉及</w:t>
      </w:r>
      <w:r>
        <w:rPr>
          <w:rFonts w:cs="Times New Roman" w:hint="eastAsia"/>
        </w:rPr>
        <w:t>东亚机械公司管理层（以下简称管理层）</w:t>
      </w:r>
      <w:r>
        <w:rPr>
          <w:rFonts w:cs="Times New Roman" w:hint="eastAsia"/>
          <w:color w:val="000000"/>
        </w:rPr>
        <w:t>重大判断，我们将销售返利的计提作为关键审计事项。</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2、审计应对</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我们针对销售返利计提执行的审计程序主要包括：</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lastRenderedPageBreak/>
        <w:t>（1）了解、评价并测试与销售返利计提相关的内部控制；</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（2）</w:t>
      </w:r>
      <w:r>
        <w:rPr>
          <w:rFonts w:cs="Times New Roman" w:hint="eastAsia"/>
          <w:snapToGrid w:val="0"/>
          <w:color w:val="000000"/>
        </w:rPr>
        <w:t>分析核对业务合同的关键条款，</w:t>
      </w:r>
      <w:r>
        <w:rPr>
          <w:rFonts w:cs="Times New Roman" w:hint="eastAsia"/>
          <w:color w:val="000000"/>
        </w:rPr>
        <w:t>评价东亚机械公司销售返利计提是否符合企业会计准则的规定且一贯运用相关政策和方法；</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（3）对销售返利执行分析程序，分析东亚机械公司销售返利政策是否存在变动及变动的合理性、分析销售返利各期计提金额和期末余额变动的合理性；</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（4）抽查东亚机械公司与客户签订的业务合同，根据业务合同约定的销售返利政策重新测算销售返利计提金额，检查销售返利的支付凭证；</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（5）在年度结算后，选取样本对销售返利余额、当期计提及支付金额实施函证程序。</w:t>
      </w:r>
    </w:p>
    <w:p w:rsidR="000C39A3" w:rsidRDefault="000C39A3">
      <w:pPr>
        <w:pStyle w:val="a4"/>
        <w:spacing w:before="0" w:beforeAutospacing="0" w:after="120" w:afterAutospacing="0" w:line="360" w:lineRule="auto"/>
        <w:ind w:firstLine="482"/>
        <w:jc w:val="both"/>
        <w:divId w:val="2142502946"/>
        <w:rPr>
          <w:rFonts w:ascii="Times New Roman" w:hAnsi="Times New Roman" w:cs="Times New Roman"/>
          <w:sz w:val="21"/>
          <w:szCs w:val="21"/>
        </w:rPr>
      </w:pPr>
      <w:r>
        <w:rPr>
          <w:rStyle w:val="a5"/>
          <w:rFonts w:cs="Times New Roman" w:hint="eastAsia"/>
        </w:rPr>
        <w:t>四、其他信息</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管理层对其他信息负责。其他信息包括东亚</w:t>
      </w:r>
      <w:r>
        <w:rPr>
          <w:rFonts w:cs="Times New Roman" w:hint="eastAsia"/>
          <w:color w:val="000000"/>
        </w:rPr>
        <w:t>机械公司</w:t>
      </w:r>
      <w:r>
        <w:rPr>
          <w:rFonts w:ascii="Times New Roman" w:hAnsi="Times New Roman" w:cs="Times New Roman"/>
          <w:color w:val="000000"/>
        </w:rPr>
        <w:t>20</w:t>
      </w:r>
      <w:r>
        <w:rPr>
          <w:rFonts w:cs="Times New Roman" w:hint="eastAsia"/>
          <w:color w:val="000000"/>
        </w:rPr>
        <w:t>22年度报告</w:t>
      </w:r>
      <w:r>
        <w:rPr>
          <w:rFonts w:cs="Times New Roman" w:hint="eastAsia"/>
        </w:rPr>
        <w:t>中涵盖的信息，但不包括财务报表和我们的审计报告。</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我们对财务报表发表的审计意见不涵盖其他信息，我们也不对其他信息发表任何形式的鉴证结论。</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结合我们对财务报表的审计，我们的责任是阅读其他信息，在此过程中，考虑其他信息是否与财务报表或我们在审计过程中了解到的情况存在重大不一致或者似乎存在重大错报。</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基于我们已执行的工作，如果我们确定其他信息存在重大错报，我们应当报告该事实。在这方面，我们无任何事项需要报告。</w:t>
      </w:r>
    </w:p>
    <w:p w:rsidR="000C39A3" w:rsidRDefault="000C39A3">
      <w:pPr>
        <w:pStyle w:val="a4"/>
        <w:spacing w:before="0" w:beforeAutospacing="0" w:after="120" w:afterAutospacing="0" w:line="360" w:lineRule="auto"/>
        <w:ind w:firstLine="482"/>
        <w:jc w:val="both"/>
        <w:divId w:val="2142502946"/>
        <w:rPr>
          <w:rFonts w:ascii="Times New Roman" w:hAnsi="Times New Roman" w:cs="Times New Roman"/>
          <w:sz w:val="21"/>
          <w:szCs w:val="21"/>
        </w:rPr>
      </w:pPr>
      <w:r>
        <w:rPr>
          <w:rStyle w:val="a5"/>
          <w:rFonts w:cs="Times New Roman" w:hint="eastAsia"/>
        </w:rPr>
        <w:t>五、管理层和治理层对财务报表的责任</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管理层负责按照企业会计准则的规定编制财务报表，使其实现公允反映，并设计、执行和维护必要的内部控制，以使财务报表不存在由于舞弊或错误导致的重大错报。</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在编制财务报表时，管理层负责评估东亚机械公司的持续经营能力，披露与持续经营相关的事项（如适用），并运用持续经营假设，除非管理层计划清算东亚机械公司、终止运营或别无其他现实的选择。</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治理层负责监督东亚机械公司的财务报告过</w:t>
      </w:r>
      <w:r>
        <w:rPr>
          <w:rFonts w:cs="Times New Roman" w:hint="eastAsia"/>
        </w:rPr>
        <w:t>程。</w:t>
      </w:r>
    </w:p>
    <w:p w:rsidR="000C39A3" w:rsidRDefault="000C39A3">
      <w:pPr>
        <w:pStyle w:val="a4"/>
        <w:spacing w:before="0" w:beforeAutospacing="0" w:after="120" w:afterAutospacing="0" w:line="360" w:lineRule="auto"/>
        <w:ind w:firstLine="482"/>
        <w:jc w:val="both"/>
        <w:divId w:val="2142502946"/>
        <w:rPr>
          <w:rFonts w:ascii="Times New Roman" w:hAnsi="Times New Roman" w:cs="Times New Roman"/>
          <w:sz w:val="21"/>
          <w:szCs w:val="21"/>
        </w:rPr>
      </w:pPr>
      <w:r>
        <w:rPr>
          <w:rStyle w:val="a5"/>
          <w:rFonts w:cs="Times New Roman" w:hint="eastAsia"/>
        </w:rPr>
        <w:t>六、注册会计师对财务报表审计的责任</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lastRenderedPageBreak/>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在按照审计准则执行审计工作的过程中，我们运用职业判断，并保持职业怀疑。同时，我们也执行以下工作：</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（2）了解与审计相关的内部控制，以设计恰当的审计程序，但目的并非对内部控制的有效性发表意见。</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（3）评价管理层选用会计政策的恰当性和作出会计估计及相关披露的合理性。</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color w:val="000000"/>
        </w:rPr>
        <w:t>（4）对管理层使用持续经营假设的恰当性得出结论。同时，根据获取的审计证据，就可能导致对东亚机械公司持续经营</w:t>
      </w:r>
      <w:r>
        <w:rPr>
          <w:rFonts w:cs="Times New Roman" w:hint="eastAsia"/>
        </w:rPr>
        <w:t>能力产生重大疑虑的事项或情况是否存在重大不确定性得出结论。如果我们得出结论认为存在重大不确定性，审计准则要求我们在审计报告中提请报表使用者注意财务报表中的相关披露；如果披露不充分，我们应当发</w:t>
      </w:r>
      <w:r>
        <w:rPr>
          <w:rFonts w:cs="Times New Roman" w:hint="eastAsia"/>
          <w:color w:val="000000"/>
        </w:rPr>
        <w:t>表非无保留意见。我们的结论基于截至审计报告日可获得的信息。然而，未来的事项或情况可能导致东亚机械公司不</w:t>
      </w:r>
      <w:r>
        <w:rPr>
          <w:rFonts w:cs="Times New Roman" w:hint="eastAsia"/>
        </w:rPr>
        <w:t>能持续经营。</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（5）评价财务报表的总体列报、结构和内容，并评价财务报表是否公允反映相关交易和事项。</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我们与治理层就计划的审计范围、时间安排和重大审计发现等事项进行沟通，包括沟通我们在审计中识别出的值得关注的内部控制缺陷。</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t>我们还就已遵守与独立性相关的职业道德要求向治理层提供声明，并与治理层沟通可能被合理认为影响我们独立性的所有关系和其他事项，以及相关的防范措施（如适用）。</w:t>
      </w:r>
    </w:p>
    <w:p w:rsidR="000C39A3" w:rsidRDefault="000C39A3">
      <w:pPr>
        <w:pStyle w:val="a4"/>
        <w:spacing w:before="0" w:beforeAutospacing="0" w:after="120" w:afterAutospacing="0" w:line="360" w:lineRule="auto"/>
        <w:ind w:firstLine="480"/>
        <w:jc w:val="both"/>
        <w:divId w:val="2142502946"/>
        <w:rPr>
          <w:rFonts w:ascii="Times New Roman" w:hAnsi="Times New Roman" w:cs="Times New Roman"/>
          <w:sz w:val="21"/>
          <w:szCs w:val="21"/>
        </w:rPr>
      </w:pPr>
      <w:r>
        <w:rPr>
          <w:rFonts w:cs="Times New Roman" w:hint="eastAsia"/>
        </w:rPr>
        <w:lastRenderedPageBreak/>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rsidR="0080594E" w:rsidRDefault="000C39A3">
      <w:pPr>
        <w:pStyle w:val="2"/>
        <w:spacing w:before="300" w:after="300" w:line="320" w:lineRule="exact"/>
        <w:rPr>
          <w:rFonts w:ascii="宋体" w:eastAsia="宋体" w:hAnsi="宋体" w:cs="宋体"/>
          <w:b/>
          <w:bCs/>
          <w:sz w:val="24"/>
          <w:szCs w:val="24"/>
        </w:rPr>
      </w:pPr>
      <w:bookmarkStart w:id="149" w:name="_Toc989037"/>
      <w:r>
        <w:rPr>
          <w:rFonts w:ascii="宋体" w:eastAsia="宋体" w:hAnsi="宋体" w:cs="宋体"/>
          <w:b/>
          <w:bCs/>
          <w:sz w:val="24"/>
          <w:szCs w:val="24"/>
        </w:rPr>
        <w:t>二、财务报表</w:t>
      </w:r>
      <w:bookmarkEnd w:id="149"/>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财务附注中报表的单位为：元</w:t>
      </w:r>
    </w:p>
    <w:p w:rsidR="0080594E" w:rsidRDefault="000C39A3">
      <w:pPr>
        <w:pStyle w:val="3"/>
        <w:spacing w:line="280" w:lineRule="exact"/>
        <w:jc w:val="left"/>
        <w:rPr>
          <w:rFonts w:ascii="宋体" w:hAnsi="宋体" w:cs="宋体"/>
          <w:b/>
          <w:bCs/>
        </w:rPr>
      </w:pPr>
      <w:bookmarkStart w:id="150" w:name="_Toc989038"/>
      <w:r>
        <w:rPr>
          <w:rFonts w:ascii="宋体" w:hAnsi="宋体" w:cs="宋体"/>
          <w:b/>
          <w:bCs/>
        </w:rPr>
        <w:t>1、资产负债表</w:t>
      </w:r>
      <w:bookmarkEnd w:id="150"/>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编制单位：厦门东亚机械工业股份有限公司</w:t>
      </w:r>
    </w:p>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2022年12月31日</w:t>
      </w:r>
    </w:p>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2022年12月31日</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2022年1月1日</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789,809,221.90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705,809,599.76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结算备付金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拆出资金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34,321,822.67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43,468,880.80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95,443,697.77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96,990,300.43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16,291,754.21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4,080,399.73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968,288.66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应收保费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应收分保账款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应收分保合同准备金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496,223.68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555,372.25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买入返售金融资产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191,834,095.72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212,524,248.36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20,484,142.83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29,304,287.98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1,147,626,226.71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1,105,912,732.45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发放贷款和垫款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长期应收款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125,551,691.83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124,187,209.12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269,365,460.80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255,889,423.53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17,499,646.67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43,582,561.79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18,671,773.73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91,718.52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178,923.60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32,999,373.78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29,449,740.82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4,450,727.31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15,575,120.93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493,541,180.70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462,598,038.35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1,641,167,407.41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1,568,510,770.80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向中央银行借款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拆入资金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75,000,000.00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138,424,794.97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133,191,622.23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3,595,377.45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5,251,653.62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218,586,783.78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187,196,360.14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卖出回购金融资产款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吸收存款及同业存放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代理买卖证券款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代理承销证券款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21,608,118.73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22,162,496.24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13,813,030.22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19,404,862.52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6,641,398.14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6,184,526.15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应付手续费及佣金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应付分保账款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4,654,533.05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3,810,681.08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437,324,036.34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452,202,201.98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保险合同准备金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21,205,426.54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17,670,844.39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21,205,426.54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17,670,844.39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458,529,462.88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469,873,046.37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86,900,468.86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70,922,206.85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一般风险准备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362,224,842.54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归属于母公司所有者权益合计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1,182,637,944.53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少数股东权益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1,182,637,944.53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1,641,167,407.41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1,568,510,770.80</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法定代表人：韩萤焕    主管会计工作负责人：岳秀丽      会计机构负责人：岳秀丽</w:t>
      </w:r>
    </w:p>
    <w:p w:rsidR="0080594E" w:rsidRDefault="000C39A3">
      <w:pPr>
        <w:pStyle w:val="3"/>
        <w:spacing w:line="280" w:lineRule="exact"/>
        <w:jc w:val="left"/>
        <w:rPr>
          <w:rFonts w:ascii="宋体" w:hAnsi="宋体" w:cs="宋体"/>
          <w:b/>
          <w:bCs/>
        </w:rPr>
      </w:pPr>
      <w:bookmarkStart w:id="151" w:name="_Toc989039"/>
      <w:r>
        <w:rPr>
          <w:rFonts w:ascii="宋体" w:hAnsi="宋体" w:cs="宋体"/>
          <w:b/>
          <w:bCs/>
        </w:rPr>
        <w:t>2、利润表</w:t>
      </w:r>
      <w:bookmarkEnd w:id="15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2021年度</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一、营业总收入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794,880,440.45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893,234,176.16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其中：营业收入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794,880,440.45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893,234,176.16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已赚保费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手续费及佣金收入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二、营业总成本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641,817,812.83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707,950,576.27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其中：营业成本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539,733,860.09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595,547,957.42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手续费及佣金支出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lastRenderedPageBreak/>
              <w:t>退保金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赔付支出净额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提取保险责任合同准备金净额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保单红利支出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分保费用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8,559,352.30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5,548,803.80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21,242,387.89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19,175,194.55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35,847,978.05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47,653,179.14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40,062,582.48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39,397,083.21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-3,628,347.98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628,358.15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4,504.21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800" w:firstLine="144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3,822,164.70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948,418.70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21,156,388.42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19,439,915.59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7,928,211.07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800" w:firstLine="1440"/>
              <w:rPr>
                <w:rFonts w:ascii="宋体" w:eastAsia="宋体" w:hAnsi="宋体" w:cs="宋体"/>
                <w:sz w:val="18"/>
                <w:szCs w:val="18"/>
              </w:rPr>
            </w:pPr>
            <w:r>
              <w:rPr>
                <w:rFonts w:ascii="宋体" w:eastAsia="宋体" w:hAnsi="宋体" w:cs="宋体"/>
                <w:sz w:val="18"/>
                <w:szCs w:val="18"/>
              </w:rPr>
              <w:t>以摊余成本计量的金融资产终止确认收益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汇兑收益（损失以“-”号填列）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817,214.92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-1,632,839.06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-4,495,396.46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-7,233,409.62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资产处置收益（损失以“-”号填列）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33,436.14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182,253,427.03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203,818,914.01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348,668.79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3,891,740.65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1,084,094.02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1,391,152.66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181,518,001.80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206,319,502.00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21,735,381.70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25,529,913.23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五、净利润（净亏损以“－”号填列）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（一）按经营持续性分类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200" w:firstLine="360"/>
              <w:rPr>
                <w:rFonts w:ascii="宋体" w:eastAsia="宋体" w:hAnsi="宋体" w:cs="宋体"/>
                <w:sz w:val="18"/>
                <w:szCs w:val="18"/>
              </w:rPr>
            </w:pPr>
            <w:r>
              <w:rPr>
                <w:rFonts w:ascii="宋体" w:eastAsia="宋体" w:hAnsi="宋体" w:cs="宋体"/>
                <w:sz w:val="18"/>
                <w:szCs w:val="18"/>
              </w:rPr>
              <w:t>1.持续经营净利润（净亏损以“－”号填列）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200" w:firstLine="360"/>
              <w:rPr>
                <w:rFonts w:ascii="宋体" w:eastAsia="宋体" w:hAnsi="宋体" w:cs="宋体"/>
                <w:sz w:val="18"/>
                <w:szCs w:val="18"/>
              </w:rPr>
            </w:pPr>
            <w:r>
              <w:rPr>
                <w:rFonts w:ascii="宋体" w:eastAsia="宋体" w:hAnsi="宋体" w:cs="宋体"/>
                <w:sz w:val="18"/>
                <w:szCs w:val="18"/>
              </w:rPr>
              <w:t>2.终止经营净利润（净亏损以“－”号填列）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（二）按所有权归属分类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200" w:firstLine="360"/>
              <w:rPr>
                <w:rFonts w:ascii="宋体" w:eastAsia="宋体" w:hAnsi="宋体" w:cs="宋体"/>
                <w:sz w:val="18"/>
                <w:szCs w:val="18"/>
              </w:rPr>
            </w:pPr>
            <w:r>
              <w:rPr>
                <w:rFonts w:ascii="宋体" w:eastAsia="宋体" w:hAnsi="宋体" w:cs="宋体"/>
                <w:sz w:val="18"/>
                <w:szCs w:val="18"/>
              </w:rPr>
              <w:t>1.归属于母公司股东的净利润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200" w:firstLine="360"/>
              <w:rPr>
                <w:rFonts w:ascii="宋体" w:eastAsia="宋体" w:hAnsi="宋体" w:cs="宋体"/>
                <w:sz w:val="18"/>
                <w:szCs w:val="18"/>
              </w:rPr>
            </w:pPr>
            <w:r>
              <w:rPr>
                <w:rFonts w:ascii="宋体" w:eastAsia="宋体" w:hAnsi="宋体" w:cs="宋体"/>
                <w:sz w:val="18"/>
                <w:szCs w:val="18"/>
              </w:rPr>
              <w:lastRenderedPageBreak/>
              <w:t>2.少数股东损益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六、其他综合收益的税后净额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归属母公司所有者的其他综合收益的税后净额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200" w:firstLine="360"/>
              <w:rPr>
                <w:rFonts w:ascii="宋体" w:eastAsia="宋体" w:hAnsi="宋体" w:cs="宋体"/>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200" w:firstLine="360"/>
              <w:rPr>
                <w:rFonts w:ascii="宋体" w:eastAsia="宋体" w:hAnsi="宋体" w:cs="宋体"/>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300" w:firstLine="540"/>
              <w:rPr>
                <w:rFonts w:ascii="宋体" w:eastAsia="宋体" w:hAnsi="宋体" w:cs="宋体"/>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归属于少数股东的其他综合收益的税后净额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七、综合收益总额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归属于母公司所有者的综合收益总额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归属于少数股东的综合收益总额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八、每股收益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0.56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0.56</w:t>
            </w:r>
          </w:p>
        </w:tc>
      </w:tr>
    </w:tbl>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本期发生同一控制下企业合并的，被合并方在合并前实现的净利润为：0.00元，上期被合并方实现的净利润为：0.00元。</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法定代表人：韩萤焕    主管会计工作负责人：岳秀丽    会计机构负责人：岳秀丽</w:t>
      </w:r>
    </w:p>
    <w:p w:rsidR="0080594E" w:rsidRDefault="000C39A3">
      <w:pPr>
        <w:pStyle w:val="3"/>
        <w:spacing w:line="280" w:lineRule="exact"/>
        <w:jc w:val="left"/>
        <w:rPr>
          <w:rFonts w:ascii="宋体" w:hAnsi="宋体" w:cs="宋体"/>
          <w:b/>
          <w:bCs/>
        </w:rPr>
      </w:pPr>
      <w:bookmarkStart w:id="152" w:name="_Toc989040"/>
      <w:r>
        <w:rPr>
          <w:rFonts w:ascii="宋体" w:hAnsi="宋体" w:cs="宋体"/>
          <w:b/>
          <w:bCs/>
        </w:rPr>
        <w:t>3、现金流量表</w:t>
      </w:r>
      <w:bookmarkEnd w:id="15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2022年度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2021年度</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752,586,098.22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893,344,075.45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客户存款和同业存放款项净增加额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向中央银行借款净增加额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向其他金融机构拆入资金净增加额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收到原保险合同保费取得的现金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收到再保业务现金净额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保户储金及投资款净增加额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收取利息、手续费及佣金的现金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回购业务资金净增加额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代理买卖证券收到的现金净额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5,795,339.82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11,162,891.52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57,541,740.45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40,115,822.86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815,923,178.49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944,622,789.83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354,486,355.57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507,815,304.13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客户贷款及垫款净增加额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存放中央银行和同业款项净增加额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支付原保险合同赔付款项的现金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拆出资金净增加额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支付保单红利的现金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109,768,774.34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120,740,300.03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70,630,217.57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72,219,305.36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41,738,305.03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65,493,404.50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576,623,652.51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766,268,314.02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239,299,525.98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178,354,475.81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699,560,000.00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2,349,000,000.00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7,928,211.07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711,333,793.46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2,356,986,211.07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79,894,078.12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119,257,164.64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699,560,000.00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2,349,000,000.00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质押贷款净增加额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779,454,078.12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2,468,257,164.64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-68,120,284.66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-111,270,953.57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461,672,640.00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其中：子公司吸收少数股东投资收到的现金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461,672,640.00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9,000,000.00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75,782,400.00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60,650,932.50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其中：子公司支付给少数股东的股利、利润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18,985.67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16,059,081.03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75,801,385.67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85,710,013.53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-75,801,385.67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375,962,626.47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371,766.49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-434,393.39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95,749,622.14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442,611,755.32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ind w:firstLineChars="100" w:firstLine="180"/>
              <w:rPr>
                <w:rFonts w:ascii="宋体" w:eastAsia="宋体" w:hAnsi="宋体" w:cs="宋体"/>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692,559,599.76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249,947,844.44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788,309,221.90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692,559,599.76</w:t>
            </w:r>
          </w:p>
        </w:tc>
      </w:tr>
    </w:tbl>
    <w:p w:rsidR="0080594E" w:rsidRDefault="000C39A3">
      <w:pPr>
        <w:pStyle w:val="3"/>
        <w:spacing w:line="280" w:lineRule="exact"/>
        <w:jc w:val="left"/>
        <w:rPr>
          <w:rFonts w:ascii="宋体" w:hAnsi="宋体" w:cs="宋体"/>
          <w:b/>
          <w:bCs/>
        </w:rPr>
      </w:pPr>
      <w:bookmarkStart w:id="153" w:name="_Toc989041"/>
      <w:r>
        <w:rPr>
          <w:rFonts w:ascii="宋体" w:hAnsi="宋体" w:cs="宋体"/>
          <w:b/>
          <w:bCs/>
        </w:rPr>
        <w:lastRenderedPageBreak/>
        <w:t>4、所有者权益变动表</w:t>
      </w:r>
      <w:bookmarkEnd w:id="153"/>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本期金额</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2"/>
        <w:gridCol w:w="602"/>
        <w:gridCol w:w="602"/>
        <w:gridCol w:w="602"/>
        <w:gridCol w:w="603"/>
        <w:gridCol w:w="602"/>
        <w:gridCol w:w="602"/>
        <w:gridCol w:w="602"/>
        <w:gridCol w:w="602"/>
        <w:gridCol w:w="602"/>
        <w:gridCol w:w="602"/>
        <w:gridCol w:w="602"/>
        <w:gridCol w:w="602"/>
        <w:gridCol w:w="607"/>
        <w:gridCol w:w="602"/>
        <w:gridCol w:w="603"/>
      </w:tblGrid>
      <w:tr w:rsidR="0080594E">
        <w:trPr>
          <w:trHeight w:val="240"/>
        </w:trPr>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9037"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2022年度</w:t>
            </w:r>
          </w:p>
        </w:tc>
      </w:tr>
      <w:tr w:rsidR="0080594E">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7832"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归属于母公司所有者权益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少数股东权益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80594E">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180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一般风险准备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70,922,206.85</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同一控制下企业合并</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70,922,206.85</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BB0434">
            <w:pPr>
              <w:spacing w:line="240" w:lineRule="exact"/>
              <w:jc w:val="right"/>
              <w:rPr>
                <w:rFonts w:ascii="宋体" w:eastAsia="宋体" w:hAnsi="宋体" w:cs="宋体"/>
                <w:sz w:val="18"/>
                <w:szCs w:val="18"/>
              </w:rPr>
            </w:pPr>
            <w:r w:rsidRPr="00BB0434">
              <w:rPr>
                <w:rFonts w:ascii="宋体" w:eastAsia="宋体" w:hAnsi="宋体" w:cs="宋体"/>
                <w:sz w:val="18"/>
                <w:szCs w:val="18"/>
              </w:rPr>
              <w:t xml:space="preserve"> 15,978,262.01</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rsidP="00BB0434">
            <w:pPr>
              <w:spacing w:line="240" w:lineRule="exact"/>
              <w:jc w:val="right"/>
              <w:rPr>
                <w:rFonts w:ascii="宋体" w:eastAsia="宋体" w:hAnsi="宋体" w:cs="宋体"/>
                <w:sz w:val="18"/>
                <w:szCs w:val="18"/>
              </w:rPr>
            </w:pPr>
          </w:p>
          <w:p w:rsidR="00BB0434" w:rsidRDefault="00BB0434" w:rsidP="00BB0434">
            <w:pPr>
              <w:spacing w:line="240" w:lineRule="exact"/>
              <w:jc w:val="right"/>
              <w:rPr>
                <w:rFonts w:ascii="宋体" w:eastAsia="宋体" w:hAnsi="宋体" w:cs="宋体"/>
                <w:sz w:val="18"/>
                <w:szCs w:val="18"/>
              </w:rPr>
            </w:pPr>
            <w:r w:rsidRPr="00BB0434">
              <w:rPr>
                <w:rFonts w:ascii="宋体" w:eastAsia="宋体" w:hAnsi="宋体" w:cs="宋体"/>
                <w:sz w:val="18"/>
                <w:szCs w:val="18"/>
              </w:rPr>
              <w:t>68,021,958.09</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84,000,220.10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84,000,220.10</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（二）所有者</w:t>
            </w:r>
            <w:r>
              <w:rPr>
                <w:rFonts w:ascii="宋体" w:eastAsia="宋体" w:hAnsi="宋体" w:cs="宋体"/>
                <w:sz w:val="18"/>
                <w:szCs w:val="18"/>
              </w:rPr>
              <w:lastRenderedPageBreak/>
              <w:t>投入和减少资本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BB0434">
            <w:pPr>
              <w:spacing w:line="240" w:lineRule="exact"/>
              <w:jc w:val="right"/>
              <w:rPr>
                <w:rFonts w:ascii="宋体" w:eastAsia="宋体" w:hAnsi="宋体" w:cs="宋体"/>
                <w:sz w:val="18"/>
                <w:szCs w:val="18"/>
              </w:rPr>
            </w:pPr>
            <w:r w:rsidRPr="00BB0434">
              <w:rPr>
                <w:rFonts w:ascii="宋体" w:eastAsia="宋体" w:hAnsi="宋体" w:cs="宋体"/>
                <w:sz w:val="18"/>
                <w:szCs w:val="18"/>
              </w:rPr>
              <w:t xml:space="preserve"> 15,978,262.01</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BB0434">
            <w:pPr>
              <w:spacing w:line="240" w:lineRule="exact"/>
              <w:jc w:val="right"/>
              <w:rPr>
                <w:rFonts w:ascii="宋体" w:eastAsia="宋体" w:hAnsi="宋体" w:cs="宋体"/>
                <w:sz w:val="18"/>
                <w:szCs w:val="18"/>
              </w:rPr>
            </w:pPr>
            <w:r w:rsidRPr="00BB0434">
              <w:rPr>
                <w:rFonts w:ascii="宋体" w:eastAsia="宋体" w:hAnsi="宋体" w:cs="宋体"/>
                <w:sz w:val="18"/>
                <w:szCs w:val="18"/>
              </w:rPr>
              <w:t xml:space="preserve"> -91,760,662.01</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-75,782,400.00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-75,782,400.00</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BB0434">
            <w:pPr>
              <w:spacing w:line="240" w:lineRule="exact"/>
              <w:jc w:val="right"/>
              <w:rPr>
                <w:rFonts w:ascii="宋体" w:eastAsia="宋体" w:hAnsi="宋体" w:cs="宋体"/>
                <w:sz w:val="18"/>
                <w:szCs w:val="18"/>
              </w:rPr>
            </w:pPr>
            <w:r w:rsidRPr="00BB0434">
              <w:rPr>
                <w:rFonts w:ascii="宋体" w:eastAsia="宋体" w:hAnsi="宋体" w:cs="宋体"/>
                <w:sz w:val="18"/>
                <w:szCs w:val="18"/>
              </w:rPr>
              <w:t xml:space="preserve"> 15,978,262.01</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BB0434">
            <w:pPr>
              <w:spacing w:line="240" w:lineRule="exact"/>
              <w:jc w:val="right"/>
              <w:rPr>
                <w:rFonts w:ascii="宋体" w:eastAsia="宋体" w:hAnsi="宋体" w:cs="宋体"/>
                <w:sz w:val="18"/>
                <w:szCs w:val="18"/>
              </w:rPr>
            </w:pPr>
            <w:r w:rsidRPr="00BB0434">
              <w:rPr>
                <w:rFonts w:ascii="宋体" w:eastAsia="宋体" w:hAnsi="宋体" w:cs="宋体"/>
                <w:sz w:val="18"/>
                <w:szCs w:val="18"/>
              </w:rPr>
              <w:t xml:space="preserve"> -15,978,262.01</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2．提取一般风险准备</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3．对所有者（或股东）的分配</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-75,782,400.00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-75,782,400.00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-75,782,400.00</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（四）所</w:t>
            </w:r>
            <w:r>
              <w:rPr>
                <w:rFonts w:ascii="宋体" w:eastAsia="宋体" w:hAnsi="宋体" w:cs="宋体"/>
                <w:sz w:val="18"/>
                <w:szCs w:val="18"/>
              </w:rPr>
              <w:lastRenderedPageBreak/>
              <w:t>有者权益内部结转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（六</w:t>
            </w:r>
            <w:r>
              <w:rPr>
                <w:rFonts w:ascii="宋体" w:eastAsia="宋体" w:hAnsi="宋体" w:cs="宋体"/>
                <w:sz w:val="18"/>
                <w:szCs w:val="18"/>
              </w:rPr>
              <w:lastRenderedPageBreak/>
              <w:t>）其他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BB0434">
            <w:pPr>
              <w:spacing w:line="240" w:lineRule="exact"/>
              <w:jc w:val="right"/>
              <w:rPr>
                <w:rFonts w:ascii="宋体" w:eastAsia="宋体" w:hAnsi="宋体" w:cs="宋体"/>
                <w:sz w:val="18"/>
                <w:szCs w:val="18"/>
              </w:rPr>
            </w:pPr>
            <w:r w:rsidRPr="00BB0434">
              <w:rPr>
                <w:rFonts w:ascii="宋体" w:eastAsia="宋体" w:hAnsi="宋体" w:cs="宋体"/>
                <w:sz w:val="18"/>
                <w:szCs w:val="18"/>
              </w:rPr>
              <w:t xml:space="preserve"> 86,900,468.86</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BB0434">
            <w:pPr>
              <w:spacing w:line="240" w:lineRule="exact"/>
              <w:jc w:val="right"/>
              <w:rPr>
                <w:rFonts w:ascii="宋体" w:eastAsia="宋体" w:hAnsi="宋体" w:cs="宋体"/>
                <w:sz w:val="18"/>
                <w:szCs w:val="18"/>
              </w:rPr>
            </w:pPr>
            <w:r w:rsidRPr="00BB0434">
              <w:rPr>
                <w:rFonts w:ascii="宋体" w:eastAsia="宋体" w:hAnsi="宋体" w:cs="宋体"/>
                <w:sz w:val="18"/>
                <w:szCs w:val="18"/>
              </w:rPr>
              <w:t xml:space="preserve"> 362,224,842.54</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1,182,637,944.53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1,182,637,944.53</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上期金额</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2"/>
        <w:gridCol w:w="602"/>
        <w:gridCol w:w="602"/>
        <w:gridCol w:w="602"/>
        <w:gridCol w:w="603"/>
        <w:gridCol w:w="602"/>
        <w:gridCol w:w="602"/>
        <w:gridCol w:w="602"/>
        <w:gridCol w:w="602"/>
        <w:gridCol w:w="602"/>
        <w:gridCol w:w="602"/>
        <w:gridCol w:w="602"/>
        <w:gridCol w:w="602"/>
        <w:gridCol w:w="607"/>
        <w:gridCol w:w="602"/>
        <w:gridCol w:w="603"/>
      </w:tblGrid>
      <w:tr w:rsidR="0080594E">
        <w:trPr>
          <w:trHeight w:val="240"/>
        </w:trPr>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9037"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2021年度</w:t>
            </w:r>
          </w:p>
        </w:tc>
      </w:tr>
      <w:tr w:rsidR="0080594E">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7832"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归属于母公司所有者权益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少数股东权益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80594E">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180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一般风险准备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283,912,000.00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7,358,000.00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52,843,247.97</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192,118,174.56</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536,231,422.53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536,231,422.53</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同一控制下企业合并</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283,912,000.00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7,358,000.00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52,843,247.97</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192,118,174.56</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536,231,422.53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536,231,422.53</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95,000,000.00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347,242,633.13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18,078,958.88</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102,084,709.89</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562,406,301.90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562,406,301.90</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（一）综合收</w:t>
            </w:r>
            <w:r>
              <w:rPr>
                <w:rFonts w:ascii="宋体" w:eastAsia="宋体" w:hAnsi="宋体" w:cs="宋体"/>
                <w:sz w:val="18"/>
                <w:szCs w:val="18"/>
              </w:rPr>
              <w:lastRenderedPageBreak/>
              <w:t>益总额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（二）所有者投入和减少资本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95,000,000.00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347,242,633.13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442,242,633.13</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95,000,000.00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347,242,633.13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442,242,633.13</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18,078,958.88</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-78,704,878.88</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-60,625,920.00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-60,625,920.00</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18,078,958.88</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-18,078,958.88</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2．提取一般风险准备</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3．对所有者（或股东）的分</w:t>
            </w:r>
            <w:r>
              <w:rPr>
                <w:rFonts w:ascii="宋体" w:eastAsia="宋体" w:hAnsi="宋体" w:cs="宋体"/>
                <w:sz w:val="18"/>
                <w:szCs w:val="18"/>
              </w:rPr>
              <w:lastRenderedPageBreak/>
              <w:t>配</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-60,625,920.00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-60,625,920.00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-60,625,920.00</w:t>
            </w: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（四）所有者权益内部结转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1．本期</w:t>
            </w:r>
            <w:r>
              <w:rPr>
                <w:rFonts w:ascii="宋体" w:eastAsia="宋体" w:hAnsi="宋体" w:cs="宋体"/>
                <w:sz w:val="18"/>
                <w:szCs w:val="18"/>
              </w:rPr>
              <w:lastRenderedPageBreak/>
              <w:t>提取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（六）其他</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70,922,206.85</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1,098,637,724.43</w:t>
            </w:r>
          </w:p>
        </w:tc>
      </w:tr>
    </w:tbl>
    <w:p w:rsidR="0080594E" w:rsidRDefault="000C39A3">
      <w:pPr>
        <w:pStyle w:val="2"/>
        <w:spacing w:before="300" w:after="300" w:line="320" w:lineRule="exact"/>
        <w:rPr>
          <w:rFonts w:ascii="宋体" w:eastAsia="宋体" w:hAnsi="宋体" w:cs="宋体"/>
          <w:b/>
          <w:bCs/>
          <w:sz w:val="24"/>
          <w:szCs w:val="24"/>
        </w:rPr>
      </w:pPr>
      <w:bookmarkStart w:id="154" w:name="_Toc989042"/>
      <w:r>
        <w:rPr>
          <w:rFonts w:ascii="宋体" w:eastAsia="宋体" w:hAnsi="宋体" w:cs="宋体"/>
          <w:b/>
          <w:bCs/>
          <w:sz w:val="24"/>
          <w:szCs w:val="24"/>
        </w:rPr>
        <w:t>三、公司基本情况</w:t>
      </w:r>
      <w:bookmarkEnd w:id="154"/>
    </w:p>
    <w:p w:rsidR="000C39A3" w:rsidRDefault="000C39A3">
      <w:pPr>
        <w:widowControl/>
        <w:numPr>
          <w:ilvl w:val="0"/>
          <w:numId w:val="1"/>
        </w:numPr>
        <w:spacing w:before="100" w:beforeAutospacing="1" w:after="100" w:afterAutospacing="1"/>
        <w:divId w:val="142089459"/>
        <w:rPr>
          <w:kern w:val="0"/>
          <w:sz w:val="18"/>
          <w:szCs w:val="18"/>
        </w:rPr>
      </w:pPr>
      <w:r>
        <w:rPr>
          <w:rStyle w:val="a5"/>
          <w:rFonts w:hint="eastAsia"/>
          <w:color w:val="000000"/>
        </w:rPr>
        <w:t>公司概况</w:t>
      </w:r>
    </w:p>
    <w:p w:rsidR="000C39A3" w:rsidRDefault="000C39A3">
      <w:pPr>
        <w:pStyle w:val="a4"/>
        <w:spacing w:before="120" w:beforeAutospacing="0" w:after="0" w:afterAutospacing="0" w:line="360" w:lineRule="auto"/>
        <w:ind w:firstLine="482"/>
        <w:jc w:val="both"/>
        <w:divId w:val="142089459"/>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）历史沿革</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cs="Times New Roman" w:hint="eastAsia"/>
        </w:rPr>
        <w:t>厦门东亚机械工业股份有限公司（以下简称“本公司”或“公司”）系由厦门东亚机械有限公司整体变更设立的股份有限公司。</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cs="Times New Roman" w:hint="eastAsia"/>
        </w:rPr>
        <w:t>厦门东亚机械有限公司（以下简称“东亚有限”）系中国北方工业厦门公司（原中国北方工业公司厦门分公司）（以下简称“北方工业”）与香港富源贸易公司（以下简称“香港富源”）于</w:t>
      </w:r>
      <w:r>
        <w:rPr>
          <w:rFonts w:ascii="Times New Roman" w:hAnsi="Times New Roman" w:cs="Times New Roman"/>
        </w:rPr>
        <w:t>1991</w:t>
      </w:r>
      <w:r>
        <w:rPr>
          <w:rFonts w:cs="Times New Roman" w:hint="eastAsia"/>
        </w:rPr>
        <w:t>年</w:t>
      </w:r>
      <w:r>
        <w:rPr>
          <w:rFonts w:ascii="Times New Roman" w:hAnsi="Times New Roman" w:cs="Times New Roman"/>
        </w:rPr>
        <w:t>1</w:t>
      </w:r>
      <w:r>
        <w:rPr>
          <w:rFonts w:cs="Times New Roman" w:hint="eastAsia"/>
        </w:rPr>
        <w:t>月</w:t>
      </w:r>
      <w:r>
        <w:rPr>
          <w:rFonts w:ascii="Times New Roman" w:hAnsi="Times New Roman" w:cs="Times New Roman"/>
        </w:rPr>
        <w:t>18</w:t>
      </w:r>
      <w:r>
        <w:rPr>
          <w:rFonts w:cs="Times New Roman" w:hint="eastAsia"/>
        </w:rPr>
        <w:t>日共同投资设立的有限公司，原登记的注册资本为</w:t>
      </w:r>
      <w:r>
        <w:rPr>
          <w:rFonts w:ascii="Times New Roman" w:hAnsi="Times New Roman" w:cs="Times New Roman"/>
        </w:rPr>
        <w:t>80</w:t>
      </w:r>
      <w:r>
        <w:rPr>
          <w:rFonts w:cs="Times New Roman" w:hint="eastAsia"/>
        </w:rPr>
        <w:t>万美元。</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ascii="Times New Roman" w:hAnsi="Times New Roman" w:cs="Times New Roman"/>
        </w:rPr>
        <w:t>2016</w:t>
      </w:r>
      <w:r>
        <w:rPr>
          <w:rFonts w:cs="Times New Roman" w:hint="eastAsia"/>
        </w:rPr>
        <w:t>年</w:t>
      </w:r>
      <w:r>
        <w:rPr>
          <w:rFonts w:ascii="Times New Roman" w:hAnsi="Times New Roman" w:cs="Times New Roman"/>
        </w:rPr>
        <w:t>6</w:t>
      </w:r>
      <w:r>
        <w:rPr>
          <w:rFonts w:cs="Times New Roman" w:hint="eastAsia"/>
        </w:rPr>
        <w:t>月</w:t>
      </w:r>
      <w:r>
        <w:rPr>
          <w:rFonts w:ascii="Times New Roman" w:hAnsi="Times New Roman" w:cs="Times New Roman"/>
        </w:rPr>
        <w:t>12</w:t>
      </w:r>
      <w:r>
        <w:rPr>
          <w:rFonts w:cs="Times New Roman" w:hint="eastAsia"/>
        </w:rPr>
        <w:t>日，经厦门市商务局出具的厦商务审〔</w:t>
      </w:r>
      <w:r>
        <w:rPr>
          <w:rFonts w:ascii="Times New Roman" w:hAnsi="Times New Roman" w:cs="Times New Roman"/>
        </w:rPr>
        <w:t>2016</w:t>
      </w:r>
      <w:r>
        <w:rPr>
          <w:rFonts w:cs="Times New Roman" w:hint="eastAsia"/>
        </w:rPr>
        <w:t>〕</w:t>
      </w:r>
      <w:r>
        <w:rPr>
          <w:rFonts w:ascii="Times New Roman" w:hAnsi="Times New Roman" w:cs="Times New Roman"/>
        </w:rPr>
        <w:t>317</w:t>
      </w:r>
      <w:r>
        <w:rPr>
          <w:rFonts w:cs="Times New Roman" w:hint="eastAsia"/>
        </w:rPr>
        <w:t>号《厦门市商务局关于同意厦门东亚机械有限公司变更为外商投资股份有限公司的批复》，公司以东亚有限截至</w:t>
      </w:r>
      <w:r>
        <w:rPr>
          <w:rFonts w:ascii="Times New Roman" w:hAnsi="Times New Roman" w:cs="Times New Roman"/>
        </w:rPr>
        <w:t>2016</w:t>
      </w:r>
      <w:r>
        <w:rPr>
          <w:rFonts w:cs="Times New Roman" w:hint="eastAsia"/>
        </w:rPr>
        <w:t>年</w:t>
      </w:r>
      <w:r>
        <w:rPr>
          <w:rFonts w:ascii="Times New Roman" w:hAnsi="Times New Roman" w:cs="Times New Roman"/>
        </w:rPr>
        <w:t>3</w:t>
      </w:r>
      <w:r>
        <w:rPr>
          <w:rFonts w:cs="Times New Roman" w:hint="eastAsia"/>
        </w:rPr>
        <w:t>月</w:t>
      </w:r>
      <w:r>
        <w:rPr>
          <w:rFonts w:ascii="Times New Roman" w:hAnsi="Times New Roman" w:cs="Times New Roman"/>
        </w:rPr>
        <w:t>31</w:t>
      </w:r>
      <w:r>
        <w:rPr>
          <w:rFonts w:cs="Times New Roman" w:hint="eastAsia"/>
        </w:rPr>
        <w:t>日经审计的净资产折股整体变更为股份有限公司。变更后公司注册资本为</w:t>
      </w:r>
      <w:r>
        <w:rPr>
          <w:rFonts w:ascii="Times New Roman" w:hAnsi="Times New Roman" w:cs="Times New Roman"/>
        </w:rPr>
        <w:t>15,000</w:t>
      </w:r>
      <w:r>
        <w:rPr>
          <w:rFonts w:cs="Times New Roman" w:hint="eastAsia"/>
        </w:rPr>
        <w:t>万元。</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ascii="Times New Roman" w:hAnsi="Times New Roman" w:cs="Times New Roman"/>
        </w:rPr>
        <w:t>2018</w:t>
      </w:r>
      <w:r>
        <w:rPr>
          <w:rFonts w:cs="Times New Roman" w:hint="eastAsia"/>
        </w:rPr>
        <w:t>年</w:t>
      </w:r>
      <w:r>
        <w:rPr>
          <w:rFonts w:ascii="Times New Roman" w:hAnsi="Times New Roman" w:cs="Times New Roman"/>
        </w:rPr>
        <w:t>4</w:t>
      </w:r>
      <w:r>
        <w:rPr>
          <w:rFonts w:cs="Times New Roman" w:hint="eastAsia"/>
        </w:rPr>
        <w:t>月</w:t>
      </w:r>
      <w:r>
        <w:rPr>
          <w:rFonts w:ascii="Times New Roman" w:hAnsi="Times New Roman" w:cs="Times New Roman"/>
        </w:rPr>
        <w:t>23</w:t>
      </w:r>
      <w:r>
        <w:rPr>
          <w:rFonts w:cs="Times New Roman" w:hint="eastAsia"/>
        </w:rPr>
        <w:t>日，根据公司</w:t>
      </w:r>
      <w:r>
        <w:rPr>
          <w:rFonts w:ascii="Times New Roman" w:hAnsi="Times New Roman" w:cs="Times New Roman"/>
        </w:rPr>
        <w:t>2017</w:t>
      </w:r>
      <w:r>
        <w:rPr>
          <w:rFonts w:cs="Times New Roman" w:hint="eastAsia"/>
        </w:rPr>
        <w:t>年度股东大会决议和章程修正案的规定，公司以未分配利润和资本公积转增方式，将注册资本由</w:t>
      </w:r>
      <w:r>
        <w:rPr>
          <w:rFonts w:ascii="Times New Roman" w:hAnsi="Times New Roman" w:cs="Times New Roman"/>
        </w:rPr>
        <w:t>15,000</w:t>
      </w:r>
      <w:r>
        <w:rPr>
          <w:rFonts w:cs="Times New Roman" w:hint="eastAsia"/>
        </w:rPr>
        <w:t>万元人民币增至</w:t>
      </w:r>
      <w:r>
        <w:rPr>
          <w:rFonts w:ascii="Times New Roman" w:hAnsi="Times New Roman" w:cs="Times New Roman"/>
        </w:rPr>
        <w:t>28,000</w:t>
      </w:r>
      <w:r>
        <w:rPr>
          <w:rFonts w:cs="Times New Roman" w:hint="eastAsia"/>
        </w:rPr>
        <w:t>万元人民币，各股东持股比例保持不变。</w:t>
      </w:r>
      <w:r>
        <w:rPr>
          <w:rFonts w:ascii="Times New Roman" w:hAnsi="Times New Roman" w:cs="Times New Roman"/>
        </w:rPr>
        <w:t>2019</w:t>
      </w:r>
      <w:r>
        <w:rPr>
          <w:rFonts w:cs="Times New Roman" w:hint="eastAsia"/>
        </w:rPr>
        <w:t>年</w:t>
      </w:r>
      <w:r>
        <w:rPr>
          <w:rFonts w:ascii="Times New Roman" w:hAnsi="Times New Roman" w:cs="Times New Roman"/>
        </w:rPr>
        <w:t>8</w:t>
      </w:r>
      <w:r>
        <w:rPr>
          <w:rFonts w:cs="Times New Roman" w:hint="eastAsia"/>
        </w:rPr>
        <w:t>月</w:t>
      </w:r>
      <w:r>
        <w:rPr>
          <w:rFonts w:ascii="Times New Roman" w:hAnsi="Times New Roman" w:cs="Times New Roman"/>
        </w:rPr>
        <w:t>30</w:t>
      </w:r>
      <w:r>
        <w:rPr>
          <w:rFonts w:cs="Times New Roman" w:hint="eastAsia"/>
        </w:rPr>
        <w:t>日，根据公司</w:t>
      </w:r>
      <w:r>
        <w:rPr>
          <w:rFonts w:ascii="Times New Roman" w:hAnsi="Times New Roman" w:cs="Times New Roman"/>
        </w:rPr>
        <w:t>2019</w:t>
      </w:r>
      <w:r>
        <w:rPr>
          <w:rFonts w:cs="Times New Roman" w:hint="eastAsia"/>
        </w:rPr>
        <w:t>年第二次股东大会决议和章程修正案的规定，公司将注册资本由</w:t>
      </w:r>
      <w:r>
        <w:rPr>
          <w:rFonts w:ascii="Times New Roman" w:hAnsi="Times New Roman" w:cs="Times New Roman"/>
        </w:rPr>
        <w:t>28,000</w:t>
      </w:r>
      <w:r>
        <w:rPr>
          <w:rFonts w:cs="Times New Roman" w:hint="eastAsia"/>
        </w:rPr>
        <w:t>万元人民币增至</w:t>
      </w:r>
      <w:r>
        <w:rPr>
          <w:rFonts w:ascii="Times New Roman" w:hAnsi="Times New Roman" w:cs="Times New Roman"/>
        </w:rPr>
        <w:t>28,391.20</w:t>
      </w:r>
      <w:r>
        <w:rPr>
          <w:rFonts w:cs="Times New Roman" w:hint="eastAsia"/>
        </w:rPr>
        <w:t>万元人民币。</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cs="Times New Roman" w:hint="eastAsia"/>
        </w:rPr>
        <w:t>根据公司</w:t>
      </w:r>
      <w:r>
        <w:rPr>
          <w:rFonts w:ascii="Times New Roman" w:hAnsi="Times New Roman" w:cs="Times New Roman"/>
        </w:rPr>
        <w:t>2019</w:t>
      </w:r>
      <w:r>
        <w:rPr>
          <w:rFonts w:cs="Times New Roman" w:hint="eastAsia"/>
        </w:rPr>
        <w:t>年第四次临时股东大会决议和修改后的章程规定，并经中国证券监督管理委员会《关于同意厦门东亚机械工业股份有限公司首次公开发行股票注册的批复》（证监许可</w:t>
      </w:r>
      <w:r>
        <w:rPr>
          <w:rFonts w:ascii="Times New Roman" w:hAnsi="Times New Roman" w:cs="Times New Roman"/>
        </w:rPr>
        <w:t>[2021]1715</w:t>
      </w:r>
      <w:r>
        <w:rPr>
          <w:rFonts w:cs="Times New Roman" w:hint="eastAsia"/>
        </w:rPr>
        <w:t>号文）核准，公司首次向社会公开发行人民币普通股（</w:t>
      </w:r>
      <w:r>
        <w:rPr>
          <w:rFonts w:ascii="Times New Roman" w:hAnsi="Times New Roman" w:cs="Times New Roman"/>
        </w:rPr>
        <w:t>A</w:t>
      </w:r>
      <w:r>
        <w:rPr>
          <w:rFonts w:cs="Times New Roman" w:hint="eastAsia"/>
        </w:rPr>
        <w:t>股）</w:t>
      </w:r>
      <w:r>
        <w:rPr>
          <w:rFonts w:ascii="Times New Roman" w:hAnsi="Times New Roman" w:cs="Times New Roman"/>
        </w:rPr>
        <w:t>9,500</w:t>
      </w:r>
      <w:r>
        <w:rPr>
          <w:rFonts w:cs="Times New Roman" w:hint="eastAsia"/>
        </w:rPr>
        <w:lastRenderedPageBreak/>
        <w:t>万股，每股面值</w:t>
      </w:r>
      <w:r>
        <w:rPr>
          <w:rFonts w:ascii="Times New Roman" w:hAnsi="Times New Roman" w:cs="Times New Roman"/>
        </w:rPr>
        <w:t>1</w:t>
      </w:r>
      <w:r>
        <w:rPr>
          <w:rFonts w:cs="Times New Roman" w:hint="eastAsia"/>
        </w:rPr>
        <w:t>元，申请增加注册资本人民币</w:t>
      </w:r>
      <w:r>
        <w:rPr>
          <w:rFonts w:ascii="Times New Roman" w:hAnsi="Times New Roman" w:cs="Times New Roman"/>
        </w:rPr>
        <w:t>9,500</w:t>
      </w:r>
      <w:r>
        <w:rPr>
          <w:rFonts w:cs="Times New Roman" w:hint="eastAsia"/>
        </w:rPr>
        <w:t>万元，变更后的注册资本为人民币</w:t>
      </w:r>
      <w:r>
        <w:rPr>
          <w:rFonts w:ascii="Times New Roman" w:hAnsi="Times New Roman" w:cs="Times New Roman"/>
        </w:rPr>
        <w:t>37,891.20</w:t>
      </w:r>
      <w:r>
        <w:rPr>
          <w:rFonts w:cs="Times New Roman" w:hint="eastAsia"/>
        </w:rPr>
        <w:t>万元。</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ascii="Times New Roman" w:hAnsi="Times New Roman" w:cs="Times New Roman"/>
        </w:rPr>
        <w:t>2021</w:t>
      </w:r>
      <w:r>
        <w:rPr>
          <w:rFonts w:cs="Times New Roman" w:hint="eastAsia"/>
        </w:rPr>
        <w:t>年</w:t>
      </w:r>
      <w:r>
        <w:rPr>
          <w:rFonts w:ascii="Times New Roman" w:hAnsi="Times New Roman" w:cs="Times New Roman"/>
        </w:rPr>
        <w:t>7</w:t>
      </w:r>
      <w:r>
        <w:rPr>
          <w:rFonts w:cs="Times New Roman" w:hint="eastAsia"/>
        </w:rPr>
        <w:t>月</w:t>
      </w:r>
      <w:r>
        <w:rPr>
          <w:rFonts w:ascii="Times New Roman" w:hAnsi="Times New Roman" w:cs="Times New Roman"/>
        </w:rPr>
        <w:t>20</w:t>
      </w:r>
      <w:r>
        <w:rPr>
          <w:rFonts w:cs="Times New Roman" w:hint="eastAsia"/>
        </w:rPr>
        <w:t>日，公司股票成功在深圳证券交易所创业板上市，证券简称为“东亚机械”，证券代码为</w:t>
      </w:r>
      <w:r>
        <w:rPr>
          <w:rFonts w:ascii="Times New Roman" w:hAnsi="Times New Roman" w:cs="Times New Roman"/>
        </w:rPr>
        <w:t>301028</w:t>
      </w:r>
      <w:r>
        <w:rPr>
          <w:rFonts w:cs="Times New Roman" w:hint="eastAsia"/>
        </w:rPr>
        <w:t>，截止</w:t>
      </w:r>
      <w:r>
        <w:rPr>
          <w:rFonts w:ascii="Times New Roman" w:hAnsi="Times New Roman" w:cs="Times New Roman"/>
        </w:rPr>
        <w:t>2022</w:t>
      </w:r>
      <w:r>
        <w:rPr>
          <w:rFonts w:cs="Times New Roman" w:hint="eastAsia"/>
        </w:rPr>
        <w:t>年末，公司股本为人民币</w:t>
      </w:r>
      <w:r>
        <w:rPr>
          <w:rFonts w:ascii="Times New Roman" w:hAnsi="Times New Roman" w:cs="Times New Roman"/>
        </w:rPr>
        <w:t>37,891.20</w:t>
      </w:r>
      <w:r>
        <w:rPr>
          <w:rFonts w:cs="Times New Roman" w:hint="eastAsia"/>
        </w:rPr>
        <w:t>万股，每股面值</w:t>
      </w:r>
      <w:r>
        <w:rPr>
          <w:rFonts w:ascii="Times New Roman" w:hAnsi="Times New Roman" w:cs="Times New Roman"/>
        </w:rPr>
        <w:t>1</w:t>
      </w:r>
      <w:r>
        <w:rPr>
          <w:rFonts w:cs="Times New Roman" w:hint="eastAsia"/>
        </w:rPr>
        <w:t>元，注册资本为人民币</w:t>
      </w:r>
      <w:r>
        <w:rPr>
          <w:rFonts w:ascii="Times New Roman" w:hAnsi="Times New Roman" w:cs="Times New Roman"/>
        </w:rPr>
        <w:t>37,891.20</w:t>
      </w:r>
      <w:r>
        <w:rPr>
          <w:rFonts w:cs="Times New Roman" w:hint="eastAsia"/>
        </w:rPr>
        <w:t>万元。</w:t>
      </w:r>
    </w:p>
    <w:p w:rsidR="000C39A3" w:rsidRDefault="000C39A3">
      <w:pPr>
        <w:pStyle w:val="a4"/>
        <w:spacing w:before="120" w:beforeAutospacing="0" w:after="0" w:afterAutospacing="0" w:line="360" w:lineRule="auto"/>
        <w:ind w:firstLine="482"/>
        <w:jc w:val="both"/>
        <w:divId w:val="142089459"/>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2</w:t>
      </w:r>
      <w:r>
        <w:rPr>
          <w:rStyle w:val="a5"/>
          <w:rFonts w:cs="Times New Roman" w:hint="eastAsia"/>
        </w:rPr>
        <w:t>）公司住所</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cs="Times New Roman" w:hint="eastAsia"/>
        </w:rPr>
        <w:t>公司住所：厦门市同安区西柯镇西柯街</w:t>
      </w:r>
      <w:r>
        <w:rPr>
          <w:rFonts w:ascii="Times New Roman" w:hAnsi="Times New Roman" w:cs="Times New Roman"/>
        </w:rPr>
        <w:t>611</w:t>
      </w:r>
      <w:r>
        <w:rPr>
          <w:rFonts w:cs="Times New Roman" w:hint="eastAsia"/>
        </w:rPr>
        <w:t>号。</w:t>
      </w:r>
      <w:r>
        <w:rPr>
          <w:rFonts w:ascii="Times New Roman" w:hAnsi="Times New Roman" w:cs="Times New Roman"/>
        </w:rPr>
        <w:t xml:space="preserve"> </w:t>
      </w:r>
    </w:p>
    <w:p w:rsidR="000C39A3" w:rsidRDefault="000C39A3">
      <w:pPr>
        <w:pStyle w:val="a4"/>
        <w:spacing w:before="120" w:beforeAutospacing="0" w:after="0" w:afterAutospacing="0" w:line="360" w:lineRule="auto"/>
        <w:ind w:firstLine="482"/>
        <w:jc w:val="both"/>
        <w:divId w:val="142089459"/>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3</w:t>
      </w:r>
      <w:r>
        <w:rPr>
          <w:rStyle w:val="a5"/>
          <w:rFonts w:cs="Times New Roman" w:hint="eastAsia"/>
        </w:rPr>
        <w:t>）公司经营范围</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cs="Times New Roman" w:hint="eastAsia"/>
        </w:rPr>
        <w:t>本公司主要从事各种空压机、空气干燥机、储气罐等的设计、研发、生产和销售。</w:t>
      </w:r>
    </w:p>
    <w:p w:rsidR="000C39A3" w:rsidRDefault="000C39A3">
      <w:pPr>
        <w:widowControl/>
        <w:numPr>
          <w:ilvl w:val="0"/>
          <w:numId w:val="2"/>
        </w:numPr>
        <w:spacing w:before="100" w:beforeAutospacing="1" w:after="100" w:afterAutospacing="1"/>
        <w:divId w:val="142089459"/>
        <w:rPr>
          <w:rFonts w:ascii="宋体" w:hAnsi="宋体" w:cs="宋体"/>
          <w:sz w:val="18"/>
          <w:szCs w:val="18"/>
        </w:rPr>
      </w:pPr>
      <w:r>
        <w:rPr>
          <w:rStyle w:val="a5"/>
          <w:rFonts w:hint="eastAsia"/>
          <w:color w:val="000000"/>
        </w:rPr>
        <w:t>财务报表批准报出日</w:t>
      </w:r>
    </w:p>
    <w:p w:rsidR="000C39A3" w:rsidRDefault="000C39A3">
      <w:pPr>
        <w:pStyle w:val="a4"/>
        <w:spacing w:before="120" w:beforeAutospacing="0" w:after="0" w:afterAutospacing="0" w:line="360" w:lineRule="auto"/>
        <w:ind w:firstLine="480"/>
        <w:jc w:val="both"/>
        <w:divId w:val="142089459"/>
        <w:rPr>
          <w:rFonts w:ascii="Times New Roman" w:hAnsi="Times New Roman" w:cs="Times New Roman"/>
          <w:sz w:val="21"/>
          <w:szCs w:val="21"/>
        </w:rPr>
      </w:pPr>
      <w:r>
        <w:rPr>
          <w:rFonts w:cs="Times New Roman" w:hint="eastAsia"/>
          <w:color w:val="000000"/>
        </w:rPr>
        <w:t>本财务报表业经本公司第三届董事会第四次会议于</w:t>
      </w:r>
      <w:r>
        <w:rPr>
          <w:rFonts w:ascii="Times New Roman" w:hAnsi="Times New Roman" w:cs="Times New Roman"/>
          <w:color w:val="000000"/>
        </w:rPr>
        <w:t>2023</w:t>
      </w:r>
      <w:r>
        <w:rPr>
          <w:rFonts w:cs="Times New Roman" w:hint="eastAsia"/>
          <w:color w:val="000000"/>
        </w:rPr>
        <w:t>年</w:t>
      </w:r>
      <w:r>
        <w:rPr>
          <w:rFonts w:ascii="Times New Roman" w:hAnsi="Times New Roman" w:cs="Times New Roman"/>
          <w:color w:val="000000"/>
        </w:rPr>
        <w:t>4</w:t>
      </w:r>
      <w:r>
        <w:rPr>
          <w:rFonts w:cs="Times New Roman" w:hint="eastAsia"/>
          <w:color w:val="000000"/>
        </w:rPr>
        <w:t>月</w:t>
      </w:r>
      <w:r>
        <w:rPr>
          <w:rFonts w:ascii="Times New Roman" w:hAnsi="Times New Roman" w:cs="Times New Roman"/>
          <w:color w:val="000000"/>
        </w:rPr>
        <w:t>21</w:t>
      </w:r>
      <w:r>
        <w:rPr>
          <w:rFonts w:cs="Times New Roman" w:hint="eastAsia"/>
          <w:color w:val="000000"/>
        </w:rPr>
        <w:t>日批准报出。</w:t>
      </w:r>
    </w:p>
    <w:p w:rsidR="000C39A3" w:rsidRDefault="000C39A3">
      <w:pPr>
        <w:pStyle w:val="a4"/>
        <w:spacing w:before="120" w:beforeAutospacing="0" w:line="360" w:lineRule="auto"/>
        <w:ind w:firstLine="480"/>
        <w:jc w:val="both"/>
        <w:divId w:val="446121335"/>
        <w:rPr>
          <w:rFonts w:ascii="Times New Roman" w:hAnsi="Times New Roman" w:cs="Times New Roman"/>
        </w:rPr>
      </w:pPr>
      <w:r>
        <w:rPr>
          <w:rFonts w:ascii="Times New Roman" w:hAnsi="Times New Roman" w:cs="Times New Roman"/>
          <w:sz w:val="21"/>
          <w:szCs w:val="21"/>
        </w:rPr>
        <w:t> </w:t>
      </w:r>
      <w:r>
        <w:rPr>
          <w:rFonts w:cs="Times New Roman" w:hint="eastAsia"/>
          <w:sz w:val="21"/>
          <w:szCs w:val="21"/>
        </w:rPr>
        <w:t>截至</w:t>
      </w:r>
      <w:r>
        <w:rPr>
          <w:rFonts w:ascii="Times New Roman" w:hAnsi="Times New Roman" w:cs="Times New Roman"/>
          <w:sz w:val="21"/>
          <w:szCs w:val="21"/>
        </w:rPr>
        <w:t>2022</w:t>
      </w:r>
      <w:r>
        <w:rPr>
          <w:rFonts w:cs="Times New Roman" w:hint="eastAsia"/>
          <w:sz w:val="21"/>
          <w:szCs w:val="21"/>
        </w:rPr>
        <w:t>年</w:t>
      </w:r>
      <w:r>
        <w:rPr>
          <w:rFonts w:ascii="Times New Roman" w:hAnsi="Times New Roman" w:cs="Times New Roman"/>
          <w:sz w:val="21"/>
          <w:szCs w:val="21"/>
        </w:rPr>
        <w:t>12</w:t>
      </w:r>
      <w:r>
        <w:rPr>
          <w:rFonts w:cs="Times New Roman" w:hint="eastAsia"/>
          <w:sz w:val="21"/>
          <w:szCs w:val="21"/>
        </w:rPr>
        <w:t>月</w:t>
      </w:r>
      <w:r>
        <w:rPr>
          <w:rFonts w:ascii="Times New Roman" w:hAnsi="Times New Roman" w:cs="Times New Roman"/>
          <w:sz w:val="21"/>
          <w:szCs w:val="21"/>
        </w:rPr>
        <w:t>31</w:t>
      </w:r>
      <w:r>
        <w:rPr>
          <w:rFonts w:cs="Times New Roman" w:hint="eastAsia"/>
          <w:sz w:val="21"/>
          <w:szCs w:val="21"/>
        </w:rPr>
        <w:t>日，本公司不存在应纳入合并报表范围的子公司。</w:t>
      </w:r>
    </w:p>
    <w:p w:rsidR="0080594E" w:rsidRDefault="000C39A3">
      <w:pPr>
        <w:pStyle w:val="2"/>
        <w:spacing w:before="300" w:after="300" w:line="320" w:lineRule="exact"/>
        <w:rPr>
          <w:rFonts w:ascii="宋体" w:eastAsia="宋体" w:hAnsi="宋体" w:cs="宋体"/>
          <w:b/>
          <w:bCs/>
          <w:sz w:val="24"/>
          <w:szCs w:val="24"/>
        </w:rPr>
      </w:pPr>
      <w:bookmarkStart w:id="155" w:name="_Toc989043"/>
      <w:r>
        <w:rPr>
          <w:rFonts w:ascii="宋体" w:eastAsia="宋体" w:hAnsi="宋体" w:cs="宋体"/>
          <w:b/>
          <w:bCs/>
          <w:sz w:val="24"/>
          <w:szCs w:val="24"/>
        </w:rPr>
        <w:t>四、财务报表的编制基础</w:t>
      </w:r>
      <w:bookmarkEnd w:id="155"/>
    </w:p>
    <w:p w:rsidR="0080594E" w:rsidRDefault="000C39A3">
      <w:pPr>
        <w:pStyle w:val="3"/>
        <w:spacing w:line="280" w:lineRule="exact"/>
        <w:jc w:val="left"/>
        <w:rPr>
          <w:rFonts w:ascii="宋体" w:hAnsi="宋体" w:cs="宋体"/>
          <w:b/>
          <w:bCs/>
        </w:rPr>
      </w:pPr>
      <w:bookmarkStart w:id="156" w:name="_Toc989044"/>
      <w:r>
        <w:rPr>
          <w:rFonts w:ascii="宋体" w:hAnsi="宋体" w:cs="宋体"/>
          <w:b/>
          <w:bCs/>
        </w:rPr>
        <w:t>1、编制基础</w:t>
      </w:r>
      <w:bookmarkEnd w:id="156"/>
    </w:p>
    <w:p w:rsidR="000C39A3" w:rsidRDefault="000C39A3">
      <w:pPr>
        <w:pStyle w:val="a4"/>
        <w:spacing w:before="120" w:beforeAutospacing="0" w:after="0" w:afterAutospacing="0" w:line="360" w:lineRule="auto"/>
        <w:ind w:firstLine="480"/>
        <w:jc w:val="both"/>
        <w:divId w:val="308942217"/>
        <w:rPr>
          <w:rFonts w:ascii="Times New Roman" w:hAnsi="Times New Roman" w:cs="Times New Roman"/>
          <w:sz w:val="21"/>
          <w:szCs w:val="21"/>
        </w:rPr>
      </w:pPr>
      <w:r>
        <w:rPr>
          <w:rFonts w:cs="Times New Roman" w:hint="eastAsia"/>
          <w:color w:val="000000"/>
        </w:rPr>
        <w:t>本公司以持续经营为基础，根据实际发生的交易和事项，按照企业会计准则及其应用指南</w:t>
      </w:r>
      <w:r>
        <w:rPr>
          <w:rFonts w:cs="Times New Roman" w:hint="eastAsia"/>
        </w:rPr>
        <w:t>和准则解释的</w:t>
      </w:r>
      <w:r>
        <w:rPr>
          <w:rFonts w:cs="Times New Roman" w:hint="eastAsia"/>
          <w:color w:val="000000"/>
        </w:rPr>
        <w:t>规定进行确认和计量，在此基础上编制财务报表。此外，本公司还按照中国证监会《公开发行证券的公司信息披露编报规则第</w:t>
      </w:r>
      <w:r>
        <w:rPr>
          <w:rFonts w:ascii="Times New Roman" w:hAnsi="Times New Roman" w:cs="Times New Roman"/>
          <w:color w:val="000000"/>
        </w:rPr>
        <w:t>15</w:t>
      </w:r>
      <w:r>
        <w:rPr>
          <w:rFonts w:cs="Times New Roman" w:hint="eastAsia"/>
          <w:color w:val="000000"/>
        </w:rPr>
        <w:t>号——财务报告的一般规定》（</w:t>
      </w:r>
      <w:r>
        <w:rPr>
          <w:rFonts w:ascii="Times New Roman" w:hAnsi="Times New Roman" w:cs="Times New Roman"/>
          <w:color w:val="000000"/>
        </w:rPr>
        <w:t>2014</w:t>
      </w:r>
      <w:r>
        <w:rPr>
          <w:rFonts w:cs="Times New Roman" w:hint="eastAsia"/>
          <w:color w:val="000000"/>
        </w:rPr>
        <w:t>年修订）披露有关财务信息。</w:t>
      </w:r>
    </w:p>
    <w:p w:rsidR="0080594E" w:rsidRDefault="000C39A3">
      <w:pPr>
        <w:pStyle w:val="3"/>
        <w:spacing w:line="280" w:lineRule="exact"/>
        <w:jc w:val="left"/>
        <w:rPr>
          <w:rFonts w:ascii="宋体" w:hAnsi="宋体" w:cs="宋体"/>
          <w:b/>
          <w:bCs/>
        </w:rPr>
      </w:pPr>
      <w:bookmarkStart w:id="157" w:name="_Toc989045"/>
      <w:r>
        <w:rPr>
          <w:rFonts w:ascii="宋体" w:hAnsi="宋体" w:cs="宋体"/>
          <w:b/>
          <w:bCs/>
        </w:rPr>
        <w:t>2、持续经营</w:t>
      </w:r>
      <w:bookmarkEnd w:id="157"/>
    </w:p>
    <w:p w:rsidR="000C39A3" w:rsidRDefault="000C39A3">
      <w:pPr>
        <w:pStyle w:val="a4"/>
        <w:spacing w:before="120" w:beforeAutospacing="0" w:after="0" w:afterAutospacing="0" w:line="360" w:lineRule="auto"/>
        <w:ind w:firstLine="480"/>
        <w:jc w:val="both"/>
        <w:divId w:val="747578270"/>
        <w:rPr>
          <w:rFonts w:ascii="Times New Roman" w:hAnsi="Times New Roman" w:cs="Times New Roman"/>
          <w:sz w:val="21"/>
          <w:szCs w:val="21"/>
        </w:rPr>
      </w:pPr>
      <w:r>
        <w:rPr>
          <w:rFonts w:cs="Times New Roman" w:hint="eastAsia"/>
        </w:rPr>
        <w:t>本公司对自报告期末起</w:t>
      </w:r>
      <w:r>
        <w:rPr>
          <w:rFonts w:ascii="Times New Roman" w:hAnsi="Times New Roman" w:cs="Times New Roman"/>
        </w:rPr>
        <w:t>12</w:t>
      </w:r>
      <w:r>
        <w:rPr>
          <w:rFonts w:cs="Times New Roman" w:hint="eastAsia"/>
        </w:rPr>
        <w:t>个月的持续经营能力进行了评估，未发现影响本公司持续经营能力的事项，本公司以持续经营为基础编制财务报表是合理的。</w:t>
      </w:r>
    </w:p>
    <w:p w:rsidR="0080594E" w:rsidRDefault="000C39A3">
      <w:pPr>
        <w:pStyle w:val="2"/>
        <w:spacing w:before="300" w:after="300" w:line="560" w:lineRule="exact"/>
        <w:rPr>
          <w:rFonts w:ascii="宋体" w:eastAsia="宋体" w:hAnsi="宋体" w:cs="宋体"/>
          <w:b/>
          <w:bCs/>
          <w:sz w:val="24"/>
          <w:szCs w:val="24"/>
        </w:rPr>
      </w:pPr>
      <w:bookmarkStart w:id="158" w:name="_Toc989046"/>
      <w:r>
        <w:rPr>
          <w:rFonts w:ascii="宋体" w:eastAsia="宋体" w:hAnsi="宋体" w:cs="宋体"/>
          <w:b/>
          <w:bCs/>
          <w:sz w:val="24"/>
          <w:szCs w:val="24"/>
        </w:rPr>
        <w:t>五、重要会计政策及会计估计</w:t>
      </w:r>
      <w:bookmarkEnd w:id="158"/>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具体会计政策和会计估计提示：</w:t>
      </w:r>
    </w:p>
    <w:p w:rsidR="000C39A3" w:rsidRDefault="000C39A3">
      <w:pPr>
        <w:pStyle w:val="a4"/>
        <w:spacing w:before="120" w:beforeAutospacing="0" w:after="0" w:afterAutospacing="0" w:line="360" w:lineRule="auto"/>
        <w:ind w:firstLine="480"/>
        <w:jc w:val="both"/>
        <w:divId w:val="2081832043"/>
        <w:rPr>
          <w:rFonts w:ascii="Times New Roman" w:hAnsi="Times New Roman" w:cs="Times New Roman"/>
          <w:sz w:val="21"/>
          <w:szCs w:val="21"/>
        </w:rPr>
      </w:pPr>
      <w:r>
        <w:rPr>
          <w:rFonts w:cs="Times New Roman" w:hint="eastAsia"/>
          <w:color w:val="000000"/>
        </w:rPr>
        <w:lastRenderedPageBreak/>
        <w:t>本公司下列重要会计政策、会计估计根据企业会计准则制定。未提及的业务按企业会计准则中相关会计政策执行。</w:t>
      </w:r>
    </w:p>
    <w:p w:rsidR="0080594E" w:rsidRDefault="000C39A3">
      <w:pPr>
        <w:pStyle w:val="3"/>
        <w:spacing w:line="280" w:lineRule="exact"/>
        <w:jc w:val="left"/>
        <w:rPr>
          <w:rFonts w:ascii="宋体" w:hAnsi="宋体" w:cs="宋体"/>
          <w:b/>
          <w:bCs/>
        </w:rPr>
      </w:pPr>
      <w:bookmarkStart w:id="159" w:name="_Toc989047"/>
      <w:r>
        <w:rPr>
          <w:rFonts w:ascii="宋体" w:hAnsi="宋体" w:cs="宋体"/>
          <w:b/>
          <w:bCs/>
        </w:rPr>
        <w:t>1、遵循企业会计准则的声明</w:t>
      </w:r>
      <w:bookmarkEnd w:id="159"/>
    </w:p>
    <w:p w:rsidR="000C39A3" w:rsidRDefault="000C39A3">
      <w:pPr>
        <w:pStyle w:val="a4"/>
        <w:spacing w:before="120" w:beforeAutospacing="0" w:after="0" w:afterAutospacing="0" w:line="360" w:lineRule="auto"/>
        <w:ind w:firstLine="480"/>
        <w:jc w:val="both"/>
        <w:divId w:val="1567884158"/>
        <w:rPr>
          <w:rFonts w:ascii="Times New Roman" w:hAnsi="Times New Roman" w:cs="Times New Roman"/>
          <w:sz w:val="21"/>
          <w:szCs w:val="21"/>
        </w:rPr>
      </w:pPr>
      <w:r>
        <w:rPr>
          <w:rFonts w:cs="Times New Roman" w:hint="eastAsia"/>
          <w:color w:val="000000"/>
        </w:rPr>
        <w:t>本公司所编制的财务报表符合企业会计准则的要求，真实、完整地反映了公司的财务状况、经营成果、所有者权益变动和现金流量等有关信息。</w:t>
      </w:r>
    </w:p>
    <w:p w:rsidR="0080594E" w:rsidRDefault="000C39A3">
      <w:pPr>
        <w:pStyle w:val="3"/>
        <w:spacing w:line="280" w:lineRule="exact"/>
        <w:jc w:val="left"/>
        <w:rPr>
          <w:rFonts w:ascii="宋体" w:hAnsi="宋体" w:cs="宋体"/>
          <w:b/>
          <w:bCs/>
        </w:rPr>
      </w:pPr>
      <w:bookmarkStart w:id="160" w:name="_Toc989048"/>
      <w:r>
        <w:rPr>
          <w:rFonts w:ascii="宋体" w:hAnsi="宋体" w:cs="宋体"/>
          <w:b/>
          <w:bCs/>
        </w:rPr>
        <w:t>2、会计期间</w:t>
      </w:r>
      <w:bookmarkEnd w:id="160"/>
    </w:p>
    <w:p w:rsidR="000C39A3" w:rsidRDefault="000C39A3">
      <w:pPr>
        <w:pStyle w:val="a4"/>
        <w:spacing w:before="120" w:beforeAutospacing="0" w:after="0" w:afterAutospacing="0" w:line="360" w:lineRule="auto"/>
        <w:ind w:firstLine="480"/>
        <w:jc w:val="both"/>
        <w:divId w:val="1907762910"/>
        <w:rPr>
          <w:rFonts w:ascii="Times New Roman" w:hAnsi="Times New Roman" w:cs="Times New Roman"/>
          <w:sz w:val="21"/>
          <w:szCs w:val="21"/>
        </w:rPr>
      </w:pPr>
      <w:r>
        <w:rPr>
          <w:rFonts w:cs="Times New Roman" w:hint="eastAsia"/>
          <w:color w:val="000000"/>
        </w:rPr>
        <w:t>本公司会计年度自公历</w:t>
      </w:r>
      <w:r>
        <w:rPr>
          <w:rFonts w:ascii="Times New Roman" w:hAnsi="Times New Roman" w:cs="Times New Roman"/>
          <w:color w:val="000000"/>
        </w:rPr>
        <w:t>1</w:t>
      </w:r>
      <w:r>
        <w:rPr>
          <w:rFonts w:cs="Times New Roman" w:hint="eastAsia"/>
          <w:color w:val="000000"/>
        </w:rPr>
        <w:t>月</w:t>
      </w:r>
      <w:r>
        <w:rPr>
          <w:rFonts w:ascii="Times New Roman" w:hAnsi="Times New Roman" w:cs="Times New Roman"/>
          <w:color w:val="000000"/>
        </w:rPr>
        <w:t>1</w:t>
      </w:r>
      <w:r>
        <w:rPr>
          <w:rFonts w:cs="Times New Roman" w:hint="eastAsia"/>
          <w:color w:val="000000"/>
        </w:rPr>
        <w:t>日起至</w:t>
      </w:r>
      <w:r>
        <w:rPr>
          <w:rFonts w:ascii="Times New Roman" w:hAnsi="Times New Roman" w:cs="Times New Roman"/>
          <w:color w:val="000000"/>
        </w:rPr>
        <w:t>12</w:t>
      </w:r>
      <w:r>
        <w:rPr>
          <w:rFonts w:cs="Times New Roman" w:hint="eastAsia"/>
          <w:color w:val="000000"/>
        </w:rPr>
        <w:t>月</w:t>
      </w:r>
      <w:r>
        <w:rPr>
          <w:rFonts w:ascii="Times New Roman" w:hAnsi="Times New Roman" w:cs="Times New Roman"/>
          <w:color w:val="000000"/>
        </w:rPr>
        <w:t>31</w:t>
      </w:r>
      <w:r>
        <w:rPr>
          <w:rFonts w:cs="Times New Roman" w:hint="eastAsia"/>
          <w:color w:val="000000"/>
        </w:rPr>
        <w:t>日止。</w:t>
      </w:r>
    </w:p>
    <w:p w:rsidR="0080594E" w:rsidRDefault="000C39A3">
      <w:pPr>
        <w:pStyle w:val="3"/>
        <w:spacing w:line="280" w:lineRule="exact"/>
        <w:jc w:val="left"/>
        <w:rPr>
          <w:rFonts w:ascii="宋体" w:hAnsi="宋体" w:cs="宋体"/>
          <w:b/>
          <w:bCs/>
        </w:rPr>
      </w:pPr>
      <w:bookmarkStart w:id="161" w:name="_Toc989049"/>
      <w:r>
        <w:rPr>
          <w:rFonts w:ascii="宋体" w:hAnsi="宋体" w:cs="宋体"/>
          <w:b/>
          <w:bCs/>
        </w:rPr>
        <w:t>3、营业周期</w:t>
      </w:r>
      <w:bookmarkEnd w:id="161"/>
    </w:p>
    <w:p w:rsidR="000C39A3" w:rsidRDefault="000C39A3">
      <w:pPr>
        <w:pStyle w:val="a4"/>
        <w:spacing w:before="120" w:beforeAutospacing="0" w:after="0" w:afterAutospacing="0" w:line="360" w:lineRule="auto"/>
        <w:ind w:firstLine="480"/>
        <w:jc w:val="both"/>
        <w:divId w:val="560136208"/>
        <w:rPr>
          <w:rFonts w:ascii="Times New Roman" w:hAnsi="Times New Roman" w:cs="Times New Roman"/>
          <w:sz w:val="21"/>
          <w:szCs w:val="21"/>
        </w:rPr>
      </w:pPr>
      <w:r>
        <w:rPr>
          <w:rFonts w:cs="Times New Roman" w:hint="eastAsia"/>
          <w:color w:val="000000"/>
        </w:rPr>
        <w:t>本公司正常营业周期为</w:t>
      </w:r>
      <w:r>
        <w:rPr>
          <w:rFonts w:cs="Times New Roman" w:hint="eastAsia"/>
        </w:rPr>
        <w:t>一年</w:t>
      </w:r>
      <w:r>
        <w:rPr>
          <w:rFonts w:cs="Times New Roman" w:hint="eastAsia"/>
          <w:color w:val="000000"/>
        </w:rPr>
        <w:t>。</w:t>
      </w:r>
    </w:p>
    <w:p w:rsidR="0080594E" w:rsidRDefault="000C39A3">
      <w:pPr>
        <w:pStyle w:val="3"/>
        <w:spacing w:line="280" w:lineRule="exact"/>
        <w:jc w:val="left"/>
        <w:rPr>
          <w:rFonts w:ascii="宋体" w:hAnsi="宋体" w:cs="宋体"/>
          <w:b/>
          <w:bCs/>
        </w:rPr>
      </w:pPr>
      <w:bookmarkStart w:id="162" w:name="_Toc989050"/>
      <w:r>
        <w:rPr>
          <w:rFonts w:ascii="宋体" w:hAnsi="宋体" w:cs="宋体"/>
          <w:b/>
          <w:bCs/>
        </w:rPr>
        <w:t>4、记账本位币</w:t>
      </w:r>
      <w:bookmarkEnd w:id="162"/>
    </w:p>
    <w:p w:rsidR="008071B9" w:rsidRDefault="006F5E8B">
      <w:pPr>
        <w:pStyle w:val="3"/>
        <w:spacing w:line="280" w:lineRule="exact"/>
        <w:jc w:val="left"/>
        <w:rPr>
          <w:rFonts w:cs="Times New Roman"/>
          <w:color w:val="000000"/>
        </w:rPr>
      </w:pPr>
      <w:r w:rsidRPr="006F5E8B">
        <w:rPr>
          <w:rFonts w:cs="Times New Roman" w:hint="eastAsia"/>
          <w:color w:val="000000"/>
        </w:rPr>
        <w:t>本公司的记账本位币为人民币。</w:t>
      </w:r>
      <w:bookmarkStart w:id="163" w:name="_Toc989051"/>
    </w:p>
    <w:p w:rsidR="0080594E" w:rsidRDefault="000C39A3">
      <w:pPr>
        <w:pStyle w:val="3"/>
        <w:spacing w:line="280" w:lineRule="exact"/>
        <w:jc w:val="left"/>
        <w:rPr>
          <w:rFonts w:ascii="宋体" w:hAnsi="宋体" w:cs="宋体"/>
          <w:b/>
          <w:bCs/>
        </w:rPr>
      </w:pPr>
      <w:r>
        <w:rPr>
          <w:rFonts w:ascii="宋体" w:hAnsi="宋体" w:cs="宋体"/>
          <w:b/>
          <w:bCs/>
        </w:rPr>
        <w:t>5、现金及现金等价物的确定标准</w:t>
      </w:r>
      <w:bookmarkEnd w:id="163"/>
    </w:p>
    <w:p w:rsidR="000C39A3" w:rsidRDefault="000C39A3">
      <w:pPr>
        <w:pStyle w:val="a4"/>
        <w:spacing w:before="120" w:beforeAutospacing="0" w:after="0" w:afterAutospacing="0" w:line="360" w:lineRule="auto"/>
        <w:ind w:firstLine="480"/>
        <w:jc w:val="both"/>
        <w:divId w:val="403767598"/>
        <w:rPr>
          <w:rFonts w:ascii="Times New Roman" w:hAnsi="Times New Roman" w:cs="Times New Roman"/>
          <w:sz w:val="21"/>
          <w:szCs w:val="21"/>
        </w:rPr>
      </w:pPr>
      <w:r>
        <w:rPr>
          <w:rFonts w:cs="Times New Roman" w:hint="eastAsia"/>
          <w:color w:val="000000"/>
        </w:rPr>
        <w:t>现金指企业库存现金及可以随时用于支付的存款。现金等价物指持有的期限短（一般是指从购买日起三个月内到期）、流动性强、易于转换为已知金额现金、价值变动风险很小的投资。</w:t>
      </w:r>
    </w:p>
    <w:p w:rsidR="0080594E" w:rsidRDefault="000C39A3">
      <w:pPr>
        <w:pStyle w:val="3"/>
        <w:spacing w:line="280" w:lineRule="exact"/>
        <w:jc w:val="left"/>
        <w:rPr>
          <w:rFonts w:ascii="宋体" w:hAnsi="宋体" w:cs="宋体"/>
          <w:b/>
          <w:bCs/>
        </w:rPr>
      </w:pPr>
      <w:bookmarkStart w:id="164" w:name="_Toc989052"/>
      <w:r>
        <w:rPr>
          <w:rFonts w:ascii="宋体" w:hAnsi="宋体" w:cs="宋体"/>
          <w:b/>
          <w:bCs/>
        </w:rPr>
        <w:t>6、外币业务和外币报表折算</w:t>
      </w:r>
      <w:bookmarkEnd w:id="164"/>
    </w:p>
    <w:p w:rsidR="000C39A3" w:rsidRDefault="000C39A3">
      <w:pPr>
        <w:pStyle w:val="a4"/>
        <w:spacing w:before="120" w:beforeAutospacing="0" w:after="0" w:afterAutospacing="0" w:line="360" w:lineRule="auto"/>
        <w:ind w:firstLine="482"/>
        <w:jc w:val="both"/>
        <w:divId w:val="1412580458"/>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）外币交易时折算汇率的确定方法</w:t>
      </w:r>
    </w:p>
    <w:p w:rsidR="000C39A3" w:rsidRDefault="000C39A3">
      <w:pPr>
        <w:pStyle w:val="a4"/>
        <w:spacing w:before="120" w:beforeAutospacing="0" w:after="0" w:afterAutospacing="0" w:line="360" w:lineRule="auto"/>
        <w:ind w:firstLine="480"/>
        <w:jc w:val="both"/>
        <w:divId w:val="1412580458"/>
        <w:rPr>
          <w:rFonts w:ascii="Times New Roman" w:hAnsi="Times New Roman" w:cs="Times New Roman"/>
          <w:sz w:val="21"/>
          <w:szCs w:val="21"/>
        </w:rPr>
      </w:pPr>
      <w:r>
        <w:rPr>
          <w:rFonts w:cs="Times New Roman" w:hint="eastAsia"/>
        </w:rPr>
        <w:t>本公司外币交易初始确认时采用交易发生日的即期汇率或采用按照系统合理的方法确定的、与交易发生日即期汇率近似的汇率（以下简称即期汇率的近似汇率）折算为记账本位币。</w:t>
      </w:r>
    </w:p>
    <w:p w:rsidR="000C39A3" w:rsidRDefault="000C39A3">
      <w:pPr>
        <w:pStyle w:val="a4"/>
        <w:spacing w:before="120" w:beforeAutospacing="0" w:after="0" w:afterAutospacing="0" w:line="360" w:lineRule="auto"/>
        <w:ind w:firstLine="482"/>
        <w:jc w:val="both"/>
        <w:divId w:val="1412580458"/>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2</w:t>
      </w:r>
      <w:r>
        <w:rPr>
          <w:rStyle w:val="a5"/>
          <w:rFonts w:cs="Times New Roman" w:hint="eastAsia"/>
        </w:rPr>
        <w:t>）资产负债表日外币货币性项目的折算方法</w:t>
      </w:r>
    </w:p>
    <w:p w:rsidR="000C39A3" w:rsidRDefault="000C39A3">
      <w:pPr>
        <w:pStyle w:val="a4"/>
        <w:spacing w:before="120" w:beforeAutospacing="0" w:after="0" w:afterAutospacing="0" w:line="360" w:lineRule="auto"/>
        <w:ind w:firstLine="480"/>
        <w:jc w:val="both"/>
        <w:divId w:val="1412580458"/>
        <w:rPr>
          <w:rFonts w:ascii="Times New Roman" w:hAnsi="Times New Roman" w:cs="Times New Roman"/>
          <w:sz w:val="21"/>
          <w:szCs w:val="21"/>
        </w:rPr>
      </w:pPr>
      <w:r>
        <w:rPr>
          <w:rFonts w:cs="Times New Roman" w:hint="eastAsia"/>
        </w:rPr>
        <w:t>在资产负债表日，对于外币货币性项目，采用资产负债表日的即期汇率折算。因资产负债表日即期汇率与初始确认时或前一资产负债表日即期汇率不同而产生的汇兑差额，计入当期损益。对以历史成本计量的外币非货币性项目，仍采用交易发生日的即期汇率折算；</w:t>
      </w:r>
      <w:r>
        <w:rPr>
          <w:rFonts w:cs="Times New Roman" w:hint="eastAsia"/>
        </w:rPr>
        <w:lastRenderedPageBreak/>
        <w:t>对以公允价值计量的外币非货币性项目，采用公允价值确定日的即期汇率折算，折算后的记账本位币金额与原记账本位币金额的差额，计入当期损益。</w:t>
      </w:r>
    </w:p>
    <w:p w:rsidR="0080594E" w:rsidRDefault="000C39A3">
      <w:pPr>
        <w:pStyle w:val="3"/>
        <w:spacing w:line="280" w:lineRule="exact"/>
        <w:jc w:val="left"/>
        <w:rPr>
          <w:rFonts w:ascii="宋体" w:hAnsi="宋体" w:cs="宋体"/>
          <w:b/>
          <w:bCs/>
        </w:rPr>
      </w:pPr>
      <w:bookmarkStart w:id="165" w:name="_Toc989053"/>
      <w:r>
        <w:rPr>
          <w:rFonts w:ascii="宋体" w:hAnsi="宋体" w:cs="宋体"/>
          <w:b/>
          <w:bCs/>
        </w:rPr>
        <w:t>7、金融工具</w:t>
      </w:r>
      <w:bookmarkEnd w:id="165"/>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金融工具，是指形成一方的金融资产并形成其他方的金融负债或权益工具的合同。</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1</w:t>
      </w:r>
      <w:r>
        <w:rPr>
          <w:rStyle w:val="a5"/>
          <w:rFonts w:cs="Times New Roman" w:hint="eastAsia"/>
          <w:color w:val="000000"/>
        </w:rPr>
        <w:t>）金融工具的确认和终止确认</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当本公司成为金融工具合同的一方时，确认相关的金融资产或金融负债。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金融资产满足下列条件之一的，终止确认：</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①收取该金融资产现金流量的合同权利终止；</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②该金融资产已转移，且符合下述金融资产转移的终止确认条件。</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金融负债（或其一部分）的现时义务已经解除的，终止确认该金融负债（或该部分金融负债）。本公司（借入方）与借出方之间签订协议，以承担新金融负债方式替换原金融负债，且新金融负债与原金融负债的合同条款实质上不同的，终止确认原金融负债，并同时确认新金融负债。本公司对原金融负债（或其一部分）的合同条款作出实质性修改的，应当终止原金融负债，同时按照修改后的条款确认一项新的金融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以常规方式买卖金融资产，按交易日进行会计确认和终止确认。常规方式买卖金融资产，是指按照合同条款规定，在法规或市场惯例所确定的时间安排来交付金融资产。交易日，是指本公司承诺买入或卖出金融资产的日期。</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2</w:t>
      </w:r>
      <w:r>
        <w:rPr>
          <w:rStyle w:val="a5"/>
          <w:rFonts w:cs="Times New Roman" w:hint="eastAsia"/>
        </w:rPr>
        <w:t>）</w:t>
      </w:r>
      <w:r>
        <w:rPr>
          <w:rStyle w:val="a5"/>
          <w:rFonts w:cs="Times New Roman" w:hint="eastAsia"/>
          <w:color w:val="000000"/>
        </w:rPr>
        <w:t>金融资产的分类与计量</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在初始确认时根据管理金融资产的业务模式和金融资产的合同现金流量特征，将金融资产分类为：以摊余成本计量的金融资产、以公允价值计量且其变动计入当期损益的金融资产、以公允价值计量且其变动计入其他综合收益的金融资产。除非本公司改变管理金融资产的业务模式，在此情形下，所有受影响的相关金融资产在业务模式发生变更后的首个报告期间的第一天进行重分类，否则金融资产在初始确认后不得进行重分类。</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金融资产在初始确认时以公允价值计量。对于以公允价值计量且其变动计入当期损益的金融资产，相关交易费用直接计入当期损益，其他类别的金融资产相关交易费用计入其</w:t>
      </w:r>
      <w:r>
        <w:rPr>
          <w:rFonts w:cs="Times New Roman" w:hint="eastAsia"/>
          <w:color w:val="000000"/>
        </w:rPr>
        <w:lastRenderedPageBreak/>
        <w:t>初始确认金额。因销售商品或提供劳务而产生的、未包含或不考虑重大融资成分的应收票据及应收账款，本公司则按照收入准则定义的交易价格进行初始计量。</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金融资产的后续计量取决于其分类：</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①以摊余成本计量的金融资产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金融资产同时符合下列条件的，分类为以摊余成本计量的金融资产：本公司管理该金融资产的业务模式是以收取合同现金流量为目标；该金融资产的合同条款规定，在特定日期产生的现金流量，仅为对本金和以未偿付本金金额为基础的利息的支付。对于此类金融资产，采用实际利率法，按照摊余成本进行后续计量，其终止确认、按实际利率法摊销或减值产生的利得或损失，均计入当期损益。</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②以公允价值计量且其变动计入其他综合收益的金融资产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金融资产同时符合下列条件的，分类为以公允价值计量且其变动计入其他综合收益的金融资产：本公司管理该金融资产的业务模式是既以收取合同现金流量为目标又以出售金融资产为目标；该金融资产的合同条款规定，在特定日期产生的现金流量，仅为对本金和以未偿付本金金额为基础的利息的支付。对于此类金融资产，采用公允价值进行后续计量。除减值损失或利得及汇兑损益确认为当期损益外，此类金融资产的公允价值变动作为其他综合收益确认，直到该金融资产终止确认时，其累计利得或损失转入当期损益。但是采用实际利率法计算的该金融资产的相关利息收入计入当期损益。</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不可撤销地选择将部分非交易性权益工具投资指定为以公允价值计量且其变动计入其他综合收益的金融资产，仅将相关股利收入计入当期损益，公允价值变动作为其他综合收益确认，直到该金融资产终止确认时，其累计利得或损失转入留存收益。</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③以公允价值计量且其变动计入当期损益的金融资产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上述以摊余成本计量的金融资产和以公允价值计量且其变动计入其他综合收益的金融资产之外的金融资产，分类为以公允价值计量且其变动计入当期损益的金融资产。对于此类金融资产，采用公允价值进行后续计量，所有公允价值变动计入当期损益。</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3</w:t>
      </w:r>
      <w:r>
        <w:rPr>
          <w:rStyle w:val="a5"/>
          <w:rFonts w:cs="Times New Roman" w:hint="eastAsia"/>
        </w:rPr>
        <w:t>）</w:t>
      </w:r>
      <w:r>
        <w:rPr>
          <w:rStyle w:val="a5"/>
          <w:rFonts w:cs="Times New Roman" w:hint="eastAsia"/>
          <w:color w:val="000000"/>
        </w:rPr>
        <w:t>金融负债的分类与计量</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本公司将金融负债分类为以公允价值计量且其变动计入当期损益的金融负债、低于市场利率贷款的贷款承诺及财务担保合同负债及以摊余成本计量的金融负债。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lastRenderedPageBreak/>
        <w:t>金融负债的后续计量取决于其分类：</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①以公允价值计量且其变动计入当期损益的金融负债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该类金融负债包括交易性金融负债（含属于金融负债的衍生工具）和指定为以公允价值计量且其变动计入当期损益的金融负债。初始确认后，对于该类金融负债以公允价值进行后续计量，除与套期会计有关外，产生的利得或损失（包括利息费用）计入当期损益。但本公司对指定为以公允价值计量且其变动计入当期损益的金融负债，由其自身信用风险变动引起的该金融负债公允价值的变动金额计入其他综合收益，当该金融负债终止确认时，之前计入其他综合收益的累计利得和损失应当从其他综合收益中转出，计入留存收益。</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②贷款承诺及财务担保合同负债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贷款承诺是本公司向客户提供的一项在承诺期间内以既定的合同条款向客户发放贷款的承诺。贷款承诺按照预期信用损失模型计提减值损失。</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财务担保合同指，当特定债务人到期不能按照最初或修改后的债务工具条款偿付债务时，要求本公司向蒙受损失的合同持有人赔付特定金额的合同。财务担保合同负债以按照依据金融工具的减值原则所确定的损失准备金额以及初始确认金额扣除按收入确认原则确定的累计摊销额后的余额孰高进行后续计量。</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③以摊余成本计量的金融负债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初始确认后，对其他金融负债采用实际利率法以摊余成本计量。</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除特殊情况外，金融负债与权益工具按照下列原则进行区分：</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①如果本公司不能无条件地避免以交付现金或其他金融资产来履行一项合同义务，则该合同义务符合金融负债的定义。有些金融工具虽然没有明确地包含交付现金或其他金融资产义务的条款和条件，但有可能通过其他条款和条件间接地形成合同义务。</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②如果一项金融工具须用或可用本公司自身权益工具进行结算，需要考虑用于结算该工具的本公司自身权益工具，是作为现金或其他金融资产的替代品，还是为了使该工具持有方享有在发行方扣除所有负债后的资产中的剩余权益。如果是前者，该工具是发行方的金融负债；如果是后者，该工具是发行方的权益工具。在某些情况下，一项金融工具合同规定本公司须用或可用自身权益工具结算该金融工具，其中合同权利或合同义务的金额等于可获取或需交付的自身权益工具的数量乘以其结算时的公允价值，则无论该合同权利或</w:t>
      </w:r>
      <w:r>
        <w:rPr>
          <w:rFonts w:cs="Times New Roman" w:hint="eastAsia"/>
        </w:rPr>
        <w:lastRenderedPageBreak/>
        <w:t>合同义务的金额是固定的，还是完全或部分地基于除本公司自身权益工具的市场价格以外变量（例如利率、某种商品的价格或某项金融工具的价格）的变动而变动，该合同分类为金融负债。</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4</w:t>
      </w:r>
      <w:r>
        <w:rPr>
          <w:rStyle w:val="a5"/>
          <w:rFonts w:cs="Times New Roman" w:hint="eastAsia"/>
        </w:rPr>
        <w:t>）</w:t>
      </w:r>
      <w:r>
        <w:rPr>
          <w:rStyle w:val="a5"/>
          <w:rFonts w:cs="Times New Roman" w:hint="eastAsia"/>
          <w:color w:val="000000"/>
        </w:rPr>
        <w:t>衍生金融工具及嵌入衍生工具</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衍生金融工具以衍生交易合同签订当日的公允价值进行初始计量，并以其公允价值进行后续计量。公允价值为正数的衍生金融工具确认为一项资产，公允价值为负数的确认为一项负债。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除现金流量套期中属于套期有效的部分计入其他综合收益并于被套期项目影响损益时转出计入当期损益之外，衍生工具公允价值变动而产生的利得或损失，直接计入当期损益。</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对包含嵌入衍生工具的混合工具，如主合同为金融资产的，混合工具作为一个整体适用金融资产分类的相关规定。如主合同并非金融资产，且该混合工具不是以公允价值计量且其变动计入当期损益进行会计处理，嵌入衍生工具与该主合同在经济特征及风险方面不存在紧密关系，且与嵌入衍生工具条件相同、单独存在的工具符合衍生工具定义的，嵌入衍生工具从混合工具中分拆，作为单独的衍生金融工具处理。如果该嵌入衍生工具在取得日或后续资产负债表日的公允价值无法单独计量，则将混合工具整体指定为以公允价值计量且其变动计入当期损益的金融资产或金融负债。</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5</w:t>
      </w:r>
      <w:r>
        <w:rPr>
          <w:rStyle w:val="a5"/>
          <w:rFonts w:cs="Times New Roman" w:hint="eastAsia"/>
        </w:rPr>
        <w:t>）</w:t>
      </w:r>
      <w:r>
        <w:rPr>
          <w:rStyle w:val="a5"/>
          <w:rFonts w:cs="Times New Roman" w:hint="eastAsia"/>
          <w:color w:val="000000"/>
        </w:rPr>
        <w:t>金融工具减值</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本公司对于以摊余成本计量的金融资产、以公允价值计量且其变动计入其他综合收益的债权投资、合同资产、租赁应收款、贷款承诺及财务担保合同等，以预期信用损失为基础确认损失准备。</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①预期信用损失的计量</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预期信用损失，是指以发生违约的风险为权重的金融工具信用损失的加权平均值。信用损失，是指本公司按照原实际利率折现的、根据合同应收的所有合同现金流量与预期收取的所有现金流量之间的差额，即全部现金短缺的现值。其中，对于本公司购买或源生的已发生信用减值的金融资产，应按照该金融资产经信用调整的实际利率折现。</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整个存续期预期信用损失，是指因金融工具整个预计存续期内所有可能发生的违约事件而导致的预期信用损失。</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lastRenderedPageBreak/>
        <w:t>未来</w:t>
      </w:r>
      <w:r>
        <w:rPr>
          <w:rFonts w:ascii="Times New Roman" w:hAnsi="Times New Roman" w:cs="Times New Roman"/>
          <w:color w:val="000000"/>
        </w:rPr>
        <w:t>12</w:t>
      </w:r>
      <w:r>
        <w:rPr>
          <w:rFonts w:cs="Times New Roman" w:hint="eastAsia"/>
          <w:color w:val="000000"/>
        </w:rPr>
        <w:t>个月内预期信用损失，是指因资产负债表日后</w:t>
      </w:r>
      <w:r>
        <w:rPr>
          <w:rFonts w:ascii="Times New Roman" w:hAnsi="Times New Roman" w:cs="Times New Roman"/>
          <w:color w:val="000000"/>
        </w:rPr>
        <w:t>12</w:t>
      </w:r>
      <w:r>
        <w:rPr>
          <w:rFonts w:cs="Times New Roman" w:hint="eastAsia"/>
          <w:color w:val="000000"/>
        </w:rPr>
        <w:t>个月内（若金融工具的预计存续期少于</w:t>
      </w:r>
      <w:r>
        <w:rPr>
          <w:rFonts w:ascii="Times New Roman" w:hAnsi="Times New Roman" w:cs="Times New Roman"/>
          <w:color w:val="000000"/>
        </w:rPr>
        <w:t>12</w:t>
      </w:r>
      <w:r>
        <w:rPr>
          <w:rFonts w:cs="Times New Roman" w:hint="eastAsia"/>
          <w:color w:val="000000"/>
        </w:rPr>
        <w:t>个月，则为预计存续期）可能发生的金融工具违约事件而导致的预期信用损失，是整个存续期预期信用损失的一部分。</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于每个资产负债表日，本公司对于处于不同阶段的金融工具的预期信用损失分别进行计量。金融工具自初始确认后信用风险未显著增加的，处于第一阶段，本公司按照未来</w:t>
      </w:r>
      <w:r>
        <w:rPr>
          <w:rFonts w:ascii="Times New Roman" w:hAnsi="Times New Roman" w:cs="Times New Roman"/>
          <w:color w:val="000000"/>
        </w:rPr>
        <w:t>12</w:t>
      </w:r>
      <w:r>
        <w:rPr>
          <w:rFonts w:cs="Times New Roman" w:hint="eastAsia"/>
          <w:color w:val="000000"/>
        </w:rPr>
        <w:t>个月内的预期信用损失计量损失准备；金融工具自初始确认后信用风险已显著增加但尚未发生信用减值的，处于第二阶段，本公司按照该工具整个存续期的预期信用损失计量损失准备；金融工具自初始确认后已经发生信用减值的，处于第三阶段，本公司按照该工具整个存续期的预期信用损失计量损失准备。</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对于在资产负债表日具有较低信用风险的金融工具，本公司假设其信用风险自初始确认后并未显著增加，按照未来</w:t>
      </w:r>
      <w:r>
        <w:rPr>
          <w:rFonts w:ascii="Times New Roman" w:hAnsi="Times New Roman" w:cs="Times New Roman"/>
          <w:color w:val="000000"/>
        </w:rPr>
        <w:t>12</w:t>
      </w:r>
      <w:r>
        <w:rPr>
          <w:rFonts w:cs="Times New Roman" w:hint="eastAsia"/>
          <w:color w:val="000000"/>
        </w:rPr>
        <w:t>个月内的预期信用损失计量损失准备。</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对于处于第一阶段和第二阶段、以及较低信用风险的金融工具，按照其未扣除减值准备的账面余额和实际利率计算利息收入。对于处于第三阶段的金融工具，按照其账面余额减已计提减值准备后的摊余成本和实际利率计算利息收入。</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对于应收票据、应收账款、应收款项融资，无论是否存在重大融资成分，本公司均按照整个存续期的预期信用损失计量损失准备。</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对于存在客观证据表明存在减值，以及其他适用于单项评估的应收票据、应收账款，其他应收款、应收款项融资等单独进行减值测试，确认预期信用损失，计提单项减值准备。对于不存在减值客观证据的应收票据、应收账款、其他应收款、应收款项融资或当单项金融资产无法以合理成本评估预期信用损失的信息时，本公司依据信用风险特征将应收票据、应收账款、其他应收款、应收款项融资</w:t>
      </w:r>
      <w:r>
        <w:rPr>
          <w:rFonts w:cs="Times New Roman" w:hint="eastAsia"/>
        </w:rPr>
        <w:t>等划分为若干组合，在组合基础上计算预期信用损失，确定组合的依据如下：</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应收票据确定组合的依据如下：</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组合</w:t>
      </w:r>
      <w:r>
        <w:rPr>
          <w:rFonts w:ascii="Times New Roman" w:hAnsi="Times New Roman" w:cs="Times New Roman"/>
        </w:rPr>
        <w:t xml:space="preserve">1 </w:t>
      </w:r>
      <w:r>
        <w:rPr>
          <w:rFonts w:cs="Times New Roman" w:hint="eastAsia"/>
        </w:rPr>
        <w:t>商业承兑汇票</w:t>
      </w:r>
      <w:r>
        <w:rPr>
          <w:rFonts w:ascii="Times New Roman" w:hAnsi="Times New Roman" w:cs="Times New Roman"/>
        </w:rPr>
        <w:t xml:space="preserve">   </w:t>
      </w:r>
      <w:r>
        <w:rPr>
          <w:rFonts w:cs="Times New Roman" w:hint="eastAsia"/>
        </w:rPr>
        <w:t>商业承兑汇票</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组合</w:t>
      </w:r>
      <w:r>
        <w:rPr>
          <w:rFonts w:ascii="Times New Roman" w:hAnsi="Times New Roman" w:cs="Times New Roman"/>
        </w:rPr>
        <w:t xml:space="preserve">2 </w:t>
      </w:r>
      <w:r>
        <w:rPr>
          <w:rFonts w:cs="Times New Roman" w:hint="eastAsia"/>
        </w:rPr>
        <w:t>其他银行承兑汇票</w:t>
      </w:r>
      <w:r>
        <w:rPr>
          <w:rFonts w:ascii="Times New Roman" w:hAnsi="Times New Roman" w:cs="Times New Roman"/>
        </w:rPr>
        <w:t xml:space="preserve">  </w:t>
      </w:r>
      <w:r>
        <w:rPr>
          <w:rFonts w:cs="Times New Roman" w:hint="eastAsia"/>
          <w:color w:val="000000"/>
        </w:rPr>
        <w:t>信用等级一般的承兑银行的银行承兑汇票组合</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对于应收票据组合，本公司参考历史信用损失经验，结合当前状况以及对未来经济状况的预测，通过违约风险敞口和整个存续期预期信用损失率，计算预期信用损失。</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lastRenderedPageBreak/>
        <w:t>应收账款确定组合的依据如下：</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组合</w:t>
      </w:r>
      <w:r>
        <w:rPr>
          <w:rFonts w:ascii="Times New Roman" w:hAnsi="Times New Roman" w:cs="Times New Roman"/>
        </w:rPr>
        <w:t>1</w:t>
      </w:r>
      <w:r>
        <w:rPr>
          <w:rFonts w:cs="Times New Roman" w:hint="eastAsia"/>
        </w:rPr>
        <w:t>应收合并范围内关联方客户</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组合</w:t>
      </w:r>
      <w:r>
        <w:rPr>
          <w:rFonts w:ascii="Times New Roman" w:hAnsi="Times New Roman" w:cs="Times New Roman"/>
        </w:rPr>
        <w:t>2</w:t>
      </w:r>
      <w:r>
        <w:rPr>
          <w:rFonts w:cs="Times New Roman" w:hint="eastAsia"/>
        </w:rPr>
        <w:t>应收其他客户</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其他应收款确定组合的依据如下：</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组合</w:t>
      </w:r>
      <w:r>
        <w:rPr>
          <w:rFonts w:ascii="Times New Roman" w:hAnsi="Times New Roman" w:cs="Times New Roman"/>
        </w:rPr>
        <w:t>1</w:t>
      </w:r>
      <w:r>
        <w:rPr>
          <w:rFonts w:cs="Times New Roman" w:hint="eastAsia"/>
        </w:rPr>
        <w:t>应收合并范围内关联方往来</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组合</w:t>
      </w:r>
      <w:r>
        <w:rPr>
          <w:rFonts w:ascii="Times New Roman" w:hAnsi="Times New Roman" w:cs="Times New Roman"/>
        </w:rPr>
        <w:t>2</w:t>
      </w:r>
      <w:r>
        <w:rPr>
          <w:rFonts w:cs="Times New Roman" w:hint="eastAsia"/>
        </w:rPr>
        <w:t>应收其他往来</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对于划分为组合</w:t>
      </w:r>
      <w:r>
        <w:rPr>
          <w:rFonts w:ascii="Times New Roman" w:hAnsi="Times New Roman" w:cs="Times New Roman"/>
        </w:rPr>
        <w:t>1</w:t>
      </w:r>
      <w:r>
        <w:rPr>
          <w:rFonts w:cs="Times New Roman" w:hint="eastAsia"/>
        </w:rPr>
        <w:t>的应收账款和其他应收款，不计提预期信用损失。对于划分为组合</w:t>
      </w:r>
      <w:r>
        <w:rPr>
          <w:rFonts w:ascii="Times New Roman" w:hAnsi="Times New Roman" w:cs="Times New Roman"/>
        </w:rPr>
        <w:t>2</w:t>
      </w:r>
      <w:r>
        <w:rPr>
          <w:rFonts w:cs="Times New Roman" w:hint="eastAsia"/>
        </w:rPr>
        <w:t>的应收账款和其他应收款，本公司参考历史信用损失经验，结合当前状况以及对未来经济状况的预测，通过违约风险敞口和整个存续期预期信用损失率，计算预期信用损失。</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应收款项融资确定组合的依据如下：</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应收款项融资组合</w:t>
      </w:r>
      <w:r>
        <w:rPr>
          <w:rFonts w:ascii="Times New Roman" w:hAnsi="Times New Roman" w:cs="Times New Roman"/>
          <w:color w:val="000000"/>
        </w:rPr>
        <w:t xml:space="preserve">1  </w:t>
      </w:r>
      <w:r>
        <w:rPr>
          <w:rFonts w:cs="Times New Roman" w:hint="eastAsia"/>
          <w:color w:val="000000"/>
        </w:rPr>
        <w:t>信用等级较高的承兑银行的银行承兑汇票组合</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对于划分为组合的应收款项融资，本公司参考历史信用损失经验，结合当前状况以及对未来经济状况的预测，一般不计提预期信用损失。</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②具有较低的信用风险</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③信用风险显著增加</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通过比较金融工具在资产负债表日所确定的预计存续期内的违约概率与在初始确认时所确定的预计存续期内的违约概率，以确定金融工具预计存续期内发生违约概率的相对变化，以评估金融工具的信用风险自初始确认后是否已显著增加。</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在确定信用风险自初始确认后是否显著增加时，本公司考虑无须付出不必要的额外成本或努力即可获得的合理且有依据的信息，包括前瞻性信息。本公司考虑的信息包括：</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t>A.</w:t>
      </w:r>
      <w:r>
        <w:rPr>
          <w:rFonts w:cs="Times New Roman" w:hint="eastAsia"/>
          <w:color w:val="000000"/>
        </w:rPr>
        <w:t>信用风险变化所导致的内部价格指标是否发生显著变化；</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lastRenderedPageBreak/>
        <w:t>B.</w:t>
      </w:r>
      <w:r>
        <w:rPr>
          <w:rFonts w:cs="Times New Roman" w:hint="eastAsia"/>
          <w:color w:val="000000"/>
        </w:rPr>
        <w:t>预期将导致债务人履行其偿债义务的能力是否发生显著变化的业务、财务或经济状况的不利变化；</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t>C.</w:t>
      </w:r>
      <w:r>
        <w:rPr>
          <w:rFonts w:cs="Times New Roman" w:hint="eastAsia"/>
          <w:color w:val="000000"/>
        </w:rPr>
        <w:t>债务人经营成果实际或预期是否发生显著变化；债务人所处的监管、经济或技术环境是否发生显著不利变化；</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t>D.</w:t>
      </w:r>
      <w:r>
        <w:rPr>
          <w:rFonts w:cs="Times New Roman" w:hint="eastAsia"/>
          <w:color w:val="000000"/>
        </w:rPr>
        <w:t>作为债务抵押的担保物价值或第三方提供的担保或信用增级质量是否发生显著变化。这些变化预期将降低债务人按合同规定期限还款的经济动机或者影响违约概率；</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t>E.</w:t>
      </w:r>
      <w:r>
        <w:rPr>
          <w:rFonts w:cs="Times New Roman" w:hint="eastAsia"/>
          <w:color w:val="000000"/>
        </w:rPr>
        <w:t>预期将降低债务人按合同约定期限还款的经济动机是否发生显著变化；</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t>F.</w:t>
      </w:r>
      <w:r>
        <w:rPr>
          <w:rFonts w:cs="Times New Roman" w:hint="eastAsia"/>
          <w:color w:val="000000"/>
        </w:rPr>
        <w:t>借款合同的预期变更，包括预计违反合同的行为是否可能导致的合同义务的免除或修订、给予免息期、利率跳升、要求追加抵押品或担保或者对金融工具的合同框架做出其他变更；</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t>G.</w:t>
      </w:r>
      <w:r>
        <w:rPr>
          <w:rFonts w:cs="Times New Roman" w:hint="eastAsia"/>
          <w:color w:val="000000"/>
        </w:rPr>
        <w:t>债务人预期表现和还款行为是否发生显著变化；</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color w:val="000000"/>
        </w:rPr>
        <w:t>H.</w:t>
      </w:r>
      <w:r>
        <w:rPr>
          <w:rFonts w:cs="Times New Roman" w:hint="eastAsia"/>
          <w:color w:val="000000"/>
        </w:rPr>
        <w:t>合同付款是否发生逾期超过（含）</w:t>
      </w:r>
      <w:r>
        <w:rPr>
          <w:rFonts w:ascii="Times New Roman" w:hAnsi="Times New Roman" w:cs="Times New Roman"/>
          <w:color w:val="000000"/>
        </w:rPr>
        <w:t>30</w:t>
      </w:r>
      <w:r>
        <w:rPr>
          <w:rFonts w:cs="Times New Roman" w:hint="eastAsia"/>
          <w:color w:val="000000"/>
        </w:rPr>
        <w:t>日。</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根据金融工具的性质，本公司以单项金融工具或金融工具组合为基础评估信用风险是否显著增加。以金融工具组合为基础进行评估时，本公司可基于共同信用风险特征对金融工具进行分类，例如逾期信息和信用风险评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通常情况下，如果逾期超过</w:t>
      </w:r>
      <w:r>
        <w:rPr>
          <w:rFonts w:ascii="Times New Roman" w:hAnsi="Times New Roman" w:cs="Times New Roman"/>
          <w:color w:val="000000"/>
        </w:rPr>
        <w:t>30</w:t>
      </w:r>
      <w:r>
        <w:rPr>
          <w:rFonts w:cs="Times New Roman" w:hint="eastAsia"/>
          <w:color w:val="000000"/>
        </w:rPr>
        <w:t>日，本公司确定金融工具的信用风险已经显著增加。除非本公司无需付出过多成本或努力即可获得合理且有依据的信息，证明虽然超过合同约定的付款期限</w:t>
      </w:r>
      <w:r>
        <w:rPr>
          <w:rFonts w:ascii="Times New Roman" w:hAnsi="Times New Roman" w:cs="Times New Roman"/>
          <w:color w:val="000000"/>
        </w:rPr>
        <w:t>30</w:t>
      </w:r>
      <w:r>
        <w:rPr>
          <w:rFonts w:cs="Times New Roman" w:hint="eastAsia"/>
          <w:color w:val="000000"/>
        </w:rPr>
        <w:t>天，但信用风险自初始确认以来并未显著增加。</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④已发生信用减值的金融资产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在资产负债表日评估以摊余成本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w:t>
      </w:r>
      <w:r>
        <w:rPr>
          <w:rFonts w:cs="Times New Roman" w:hint="eastAsia"/>
          <w:color w:val="000000"/>
        </w:rPr>
        <w:lastRenderedPageBreak/>
        <w:t>致该金融资产的活跃市场消失；以大幅折扣购买或源生一项金融资产，该折扣反映了发生信用损失的事实。</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⑤预期信用损失准备的列报</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为反映金融工具的信用风险自初始确认后的变化，本公司在每个资产负债表日重新计量预期信用损失，由此形成的损失准备的增加或转回金额，应当作为减值损失或利得计入当期损益。对于以摊余成本计量的金融资产，损失准备抵减该金融资产在资产负债表中列示的账面价值；对于以公允价值计量且其变动计入其他综合收益的债权投资，本公司在其他综合收益中确认其损失准备，不抵减该金融资产的账面价值。</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⑥核销</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如果本公司不再合理预期金融资产合同现金流量能够全部或部分收回，则直接减记该金融资产的账面余额。这种减记构成相关金融资产的终止确认。这种情况通常发生在本公司确定债务人没有资产或收入来源可产生足够的现金流量以偿还将被减记的金额。</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已减记的金融资产以后又收回的，作为减值损失的转回计入收回当期的损益。</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6</w:t>
      </w:r>
      <w:r>
        <w:rPr>
          <w:rStyle w:val="a5"/>
          <w:rFonts w:cs="Times New Roman" w:hint="eastAsia"/>
        </w:rPr>
        <w:t>）</w:t>
      </w:r>
      <w:r>
        <w:rPr>
          <w:rStyle w:val="a5"/>
          <w:rFonts w:cs="Times New Roman" w:hint="eastAsia"/>
          <w:color w:val="000000"/>
        </w:rPr>
        <w:t>金融资产转移</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金融资产转移是指下列两种情形：</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rPr>
        <w:t>A.</w:t>
      </w:r>
      <w:r>
        <w:rPr>
          <w:rFonts w:cs="Times New Roman" w:hint="eastAsia"/>
        </w:rPr>
        <w:t>将收取金融资产现金流量的合同权利转移给另一方；</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rPr>
        <w:t>B.</w:t>
      </w:r>
      <w:r>
        <w:rPr>
          <w:rFonts w:cs="Times New Roman" w:hint="eastAsia"/>
        </w:rPr>
        <w:t>将金融资产整体或部分转移给另一方，但保留收取金融资产现金流量的合同权利，并承担将收取的现金流量支付给一个或多个收款方的合同义务。</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①终止确认所转移的金融资产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已将金融资产所有权上几乎所有的风险和报酬转移给转入方的，或既没有转移也没有保留金融资产所有权上几乎所有的风险和报酬的，但放弃了对该金融资产控制的，终止确认该金融资产。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在判断是否已放弃对所转移金融资产的控制时，根据转入方出售该金融资产的实际能力。转入方能够单方面将转移的金融资产整体出售给不相关的第三方，且没有额外条件对此项出售加以限制的，则公司已放弃对该金融资产的控制。</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lastRenderedPageBreak/>
        <w:t>本公司在判断金融资产转移是否满足金融资产终止确认条件时，注重金融资产转移的实质。</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金融资产整体转移满足终止确认条件的，将下列两项金额的差额计入当期损益：</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rPr>
        <w:t>A.</w:t>
      </w:r>
      <w:r>
        <w:rPr>
          <w:rFonts w:cs="Times New Roman" w:hint="eastAsia"/>
        </w:rPr>
        <w:t>所转移金融资产的账面价值；</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rPr>
        <w:t>B.</w:t>
      </w:r>
      <w:r>
        <w:rPr>
          <w:rFonts w:cs="Times New Roman" w:hint="eastAsia"/>
        </w:rPr>
        <w:t>因转移而收到的对价，与原直接计入其他综合收益的公允价值变动累计额中对于终止确认部分的金额（涉及转移的金融资产为根据《企业会计准则第</w:t>
      </w:r>
      <w:r>
        <w:rPr>
          <w:rFonts w:ascii="Times New Roman" w:hAnsi="Times New Roman" w:cs="Times New Roman"/>
        </w:rPr>
        <w:t>22</w:t>
      </w:r>
      <w:r>
        <w:rPr>
          <w:rFonts w:cs="Times New Roman" w:hint="eastAsia"/>
        </w:rPr>
        <w:t>号</w:t>
      </w:r>
      <w:r>
        <w:rPr>
          <w:rFonts w:ascii="Times New Roman" w:hAnsi="Times New Roman" w:cs="Times New Roman"/>
        </w:rPr>
        <w:t>-</w:t>
      </w:r>
      <w:r>
        <w:rPr>
          <w:rFonts w:cs="Times New Roman" w:hint="eastAsia"/>
        </w:rPr>
        <w:t>金融工具确认和计量》第十八条分类为以公允价值计量且其变动计入其他综合收益的金融资产的情形）之和。</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金融资产部分转移满足终止确认条件的，将所转移金融资产整体的账面价值，在终止确认部分和未终止确认部分（在此种情况下，所保留的服务资产视同继续确认金融资产的一部分）之间，按照转移日各自的相对公允价值进行分摊，并将下列两项金额的差额计入当期损益：</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rPr>
        <w:t>A.</w:t>
      </w:r>
      <w:r>
        <w:rPr>
          <w:rFonts w:cs="Times New Roman" w:hint="eastAsia"/>
        </w:rPr>
        <w:t>终止确认部分在终止确认日的账面价值；</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ascii="Times New Roman" w:hAnsi="Times New Roman" w:cs="Times New Roman"/>
        </w:rPr>
        <w:t>B.</w:t>
      </w:r>
      <w:r>
        <w:rPr>
          <w:rFonts w:cs="Times New Roman" w:hint="eastAsia"/>
        </w:rPr>
        <w:t>终止确认部分的对价，与原计入其他综合收益的公允价值变动累计额中对应终止确认部分的金额（涉及转移的金融资产为根据《企业会计准则第</w:t>
      </w:r>
      <w:r>
        <w:rPr>
          <w:rFonts w:ascii="Times New Roman" w:hAnsi="Times New Roman" w:cs="Times New Roman"/>
        </w:rPr>
        <w:t>22</w:t>
      </w:r>
      <w:r>
        <w:rPr>
          <w:rFonts w:cs="Times New Roman" w:hint="eastAsia"/>
        </w:rPr>
        <w:t>号</w:t>
      </w:r>
      <w:r>
        <w:rPr>
          <w:rFonts w:ascii="Times New Roman" w:hAnsi="Times New Roman" w:cs="Times New Roman"/>
        </w:rPr>
        <w:t>-</w:t>
      </w:r>
      <w:r>
        <w:rPr>
          <w:rFonts w:cs="Times New Roman" w:hint="eastAsia"/>
        </w:rPr>
        <w:t>金融工具确认和计量》第十八条分类为以公允价值计量且其变动计入其他综合收益的金融资产的情形）之和。</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②继续涉入所转移的金融资产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既没有转移也没有保留金融资产所有权上几乎所有的风险和报酬的，且未放弃对该金融资产控制的，应当按照其继续涉入所转移金融资产的程度确认有关金融资产，并相应确认有关负债。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继续涉入所转移金融资产的程度，是指企业承担的被转移金融资产价值变动风险或报酬的程度。</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③继续确认所转移的金融资产</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仍保留与所转移金融资产所有权上几乎所有的风险和报酬的，应当继续确认所转移金融资产整体，并将收到的对价确认为一项金融负债。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lastRenderedPageBreak/>
        <w:t>该金融资产与确认的相关金融负债不得相互抵销。在随后的会计期间，企业应当继续确认该金融资产产生的收入（或利得）和该金融负债产生的费用（或损失）。</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7</w:t>
      </w:r>
      <w:r>
        <w:rPr>
          <w:rStyle w:val="a5"/>
          <w:rFonts w:cs="Times New Roman" w:hint="eastAsia"/>
        </w:rPr>
        <w:t>）</w:t>
      </w:r>
      <w:r>
        <w:rPr>
          <w:rStyle w:val="a5"/>
          <w:rFonts w:cs="Times New Roman" w:hint="eastAsia"/>
          <w:color w:val="000000"/>
        </w:rPr>
        <w:t>金融资产和金融负债的抵销</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金融资产和金融负债应当在资产负债表内分别列示，不得相互抵销。但同时满足下列条件的，以相互抵销后的净额在资产负债表内列示：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本公司具有抵销已确认金额的法定权利，且该种法定权利是当前可执行的；</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本公司计划以净额结算，或同时变现该金融资产和清偿该金融负债。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rPr>
        <w:t>不满足终止确认条件的金融资产转移，转出方不得将已转移的金融资产和相关负债进行抵销。</w:t>
      </w:r>
    </w:p>
    <w:p w:rsidR="000C39A3" w:rsidRDefault="000C39A3">
      <w:pPr>
        <w:pStyle w:val="a4"/>
        <w:spacing w:before="120" w:beforeAutospacing="0" w:after="0" w:afterAutospacing="0" w:line="360" w:lineRule="auto"/>
        <w:ind w:firstLine="482"/>
        <w:jc w:val="both"/>
        <w:divId w:val="112553734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8</w:t>
      </w:r>
      <w:r>
        <w:rPr>
          <w:rStyle w:val="a5"/>
          <w:rFonts w:cs="Times New Roman" w:hint="eastAsia"/>
        </w:rPr>
        <w:t>）</w:t>
      </w:r>
      <w:r>
        <w:rPr>
          <w:rStyle w:val="a5"/>
          <w:rFonts w:cs="Times New Roman" w:hint="eastAsia"/>
          <w:color w:val="000000"/>
        </w:rPr>
        <w:t>金融工具公允价值的确定方法</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公允价值是指市场参与者在计量日发生的有序交易中，出售一项资产所能收到或者转移一项负债所需支付的价格。</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以主要市场的价格计量相关资产或负债的公允价值，不存在主要市场的，本公司以最有利市场的价格计量相关资产或负债的公允价值。本公司采用市场参与者在对该资产或负债定价时为实现其经济利益最大化所使用的假设。</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主要市场，是指相关资产或负债交易量最大和交易活跃程度最高的市场；最有利市场，是指在考虑交易费用和运输费用后，能够以最高金额出售相关资产或者以最低金额转移相关负债的市场。</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存在活跃市场的金融资产或金融负债，本公司采用活跃市场中的报价确定其公允价值。金融工具不存在活跃市场的，本公司采用估值技术确定其公允价值。</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以公允价值计量非金融资产的，考虑市场参与者将该资产用于最佳用途产生经济利益的能力，或者将该资产出售给能够用于最佳用途的其他市场参与者产生经济利益的能力。</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①估值技术</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本公司采用在当期情况下适用并且有足够可利用数据和其他信息支持的估值技术，使用的估值技术主要包括市场法、收益法和成本法。本公司使用与其中一种或多种估值技术</w:t>
      </w:r>
      <w:r>
        <w:rPr>
          <w:rFonts w:cs="Times New Roman" w:hint="eastAsia"/>
          <w:color w:val="000000"/>
        </w:rPr>
        <w:lastRenderedPageBreak/>
        <w:t>相一致的方法计量公允价值，使用多种估值技术计量公允价值的，考虑各估值结果的合理性，选取在当期情况下最能代表公允价值的金额作为公允价值。</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本公司在估值技术的应用中，优先使用相关可观察输入值，只有在相关可观察输入值无法取得或取得不切实可行的情况下，才使用不可观察输入值。可观察输入值，是指能够从市场数据中取得的输入值。该输入值反映了市场参与者在对相关资产或负债定价时所使用的假设。不可观察输入值，是指不能从市场数据中取得的输入值。该输入值根据可获得的市场参与者在对相关资产或负债定价时所使用假设的最佳信息取得。</w:t>
      </w:r>
    </w:p>
    <w:p w:rsidR="000C39A3" w:rsidRDefault="000C39A3">
      <w:pPr>
        <w:pStyle w:val="a4"/>
        <w:spacing w:before="120" w:beforeAutospacing="0" w:after="0" w:afterAutospacing="0" w:line="360" w:lineRule="auto"/>
        <w:ind w:firstLine="480"/>
        <w:jc w:val="both"/>
        <w:divId w:val="1125537344"/>
        <w:rPr>
          <w:rFonts w:ascii="Times New Roman" w:hAnsi="Times New Roman" w:cs="Times New Roman"/>
          <w:sz w:val="21"/>
          <w:szCs w:val="21"/>
        </w:rPr>
      </w:pPr>
      <w:r>
        <w:rPr>
          <w:rFonts w:cs="Times New Roman" w:hint="eastAsia"/>
          <w:color w:val="000000"/>
        </w:rPr>
        <w:t>②公允价值层次</w:t>
      </w:r>
    </w:p>
    <w:p w:rsidR="000C39A3" w:rsidRPr="008071B9" w:rsidRDefault="000C39A3" w:rsidP="008071B9">
      <w:pPr>
        <w:pStyle w:val="a4"/>
        <w:spacing w:before="120" w:beforeAutospacing="0" w:after="0" w:afterAutospacing="0" w:line="360" w:lineRule="auto"/>
        <w:ind w:firstLine="480"/>
        <w:jc w:val="both"/>
        <w:divId w:val="1125537344"/>
        <w:rPr>
          <w:rFonts w:cs="Times New Roman"/>
          <w:color w:val="000000"/>
        </w:rPr>
      </w:pPr>
      <w:r w:rsidRPr="009E2405">
        <w:rPr>
          <w:rFonts w:cs="Times New Roman" w:hint="eastAsia"/>
          <w:color w:val="000000"/>
        </w:rPr>
        <w:t>本公司将公允价值计量所使用的输入值划分为三个层次，并首先使用第一层次输入值，其次使用第二层次输入值，最后使用第三层次输入值。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r w:rsidRPr="008071B9">
        <w:rPr>
          <w:rFonts w:cs="Times New Roman"/>
          <w:color w:val="000000"/>
        </w:rPr>
        <w:t xml:space="preserve"> </w:t>
      </w:r>
    </w:p>
    <w:p w:rsidR="0080594E" w:rsidRDefault="000C39A3">
      <w:pPr>
        <w:pStyle w:val="3"/>
        <w:spacing w:line="280" w:lineRule="exact"/>
        <w:jc w:val="left"/>
        <w:rPr>
          <w:rFonts w:ascii="宋体" w:hAnsi="宋体" w:cs="宋体"/>
          <w:b/>
          <w:bCs/>
        </w:rPr>
      </w:pPr>
      <w:bookmarkStart w:id="166" w:name="_Toc989054"/>
      <w:r>
        <w:rPr>
          <w:rFonts w:ascii="宋体" w:hAnsi="宋体" w:cs="宋体"/>
          <w:b/>
          <w:bCs/>
        </w:rPr>
        <w:t>8、应收票据</w:t>
      </w:r>
      <w:bookmarkEnd w:id="166"/>
    </w:p>
    <w:p w:rsidR="000C39A3" w:rsidRDefault="000C39A3">
      <w:pPr>
        <w:pStyle w:val="a4"/>
        <w:spacing w:before="0" w:beforeAutospacing="0" w:after="0" w:afterAutospacing="0" w:line="360" w:lineRule="auto"/>
        <w:ind w:firstLine="480"/>
        <w:jc w:val="both"/>
        <w:divId w:val="1953397660"/>
        <w:rPr>
          <w:rFonts w:ascii="Times New Roman" w:hAnsi="Times New Roman" w:cs="Times New Roman"/>
          <w:sz w:val="18"/>
          <w:szCs w:val="18"/>
        </w:rPr>
      </w:pPr>
      <w:r>
        <w:rPr>
          <w:rFonts w:cs="Times New Roman" w:hint="eastAsia"/>
        </w:rPr>
        <w:t>本公司按照第十节</w:t>
      </w:r>
      <w:r>
        <w:rPr>
          <w:rFonts w:ascii="Times New Roman" w:hAnsi="Times New Roman" w:cs="Times New Roman"/>
        </w:rPr>
        <w:t>“</w:t>
      </w:r>
      <w:r>
        <w:rPr>
          <w:rFonts w:cs="Times New Roman" w:hint="eastAsia"/>
        </w:rPr>
        <w:t>财务报告</w:t>
      </w:r>
      <w:r>
        <w:rPr>
          <w:rFonts w:ascii="Times New Roman" w:hAnsi="Times New Roman" w:cs="Times New Roman"/>
        </w:rPr>
        <w:t>”</w:t>
      </w:r>
      <w:r>
        <w:rPr>
          <w:rFonts w:cs="Times New Roman" w:hint="eastAsia"/>
        </w:rPr>
        <w:t>五</w:t>
      </w:r>
      <w:r>
        <w:rPr>
          <w:rFonts w:ascii="Times New Roman" w:hAnsi="Times New Roman" w:cs="Times New Roman"/>
        </w:rPr>
        <w:t>“</w:t>
      </w:r>
      <w:r>
        <w:rPr>
          <w:rFonts w:cs="Times New Roman" w:hint="eastAsia"/>
        </w:rPr>
        <w:t>重要会计政策及会计估计</w:t>
      </w:r>
      <w:r>
        <w:rPr>
          <w:rFonts w:ascii="Times New Roman" w:hAnsi="Times New Roman" w:cs="Times New Roman"/>
        </w:rPr>
        <w:t>”</w:t>
      </w:r>
      <w:r>
        <w:rPr>
          <w:rFonts w:cs="Times New Roman" w:hint="eastAsia"/>
        </w:rPr>
        <w:t>之7</w:t>
      </w:r>
      <w:r>
        <w:rPr>
          <w:rFonts w:ascii="Times New Roman" w:hAnsi="Times New Roman" w:cs="Times New Roman"/>
        </w:rPr>
        <w:t>“</w:t>
      </w:r>
      <w:r>
        <w:rPr>
          <w:rFonts w:cs="Times New Roman" w:hint="eastAsia"/>
        </w:rPr>
        <w:t>金融工具</w:t>
      </w:r>
      <w:r>
        <w:rPr>
          <w:rFonts w:ascii="Times New Roman" w:hAnsi="Times New Roman" w:cs="Times New Roman"/>
        </w:rPr>
        <w:t>”</w:t>
      </w:r>
      <w:r>
        <w:rPr>
          <w:rFonts w:cs="Times New Roman" w:hint="eastAsia"/>
        </w:rPr>
        <w:t>（</w:t>
      </w:r>
      <w:r>
        <w:rPr>
          <w:rFonts w:ascii="Times New Roman" w:hAnsi="Times New Roman" w:cs="Times New Roman"/>
        </w:rPr>
        <w:t>5</w:t>
      </w:r>
      <w:r>
        <w:rPr>
          <w:rFonts w:cs="Times New Roman" w:hint="eastAsia"/>
        </w:rPr>
        <w:t>）</w:t>
      </w:r>
      <w:r>
        <w:rPr>
          <w:rFonts w:ascii="Times New Roman" w:hAnsi="Times New Roman" w:cs="Times New Roman"/>
        </w:rPr>
        <w:t>“</w:t>
      </w:r>
      <w:r>
        <w:rPr>
          <w:rFonts w:cs="Times New Roman" w:hint="eastAsia"/>
        </w:rPr>
        <w:t>金融工具的减值</w:t>
      </w:r>
      <w:r>
        <w:rPr>
          <w:rFonts w:ascii="Times New Roman" w:hAnsi="Times New Roman" w:cs="Times New Roman"/>
        </w:rPr>
        <w:t>”</w:t>
      </w:r>
      <w:r>
        <w:rPr>
          <w:rFonts w:cs="Times New Roman" w:hint="eastAsia"/>
        </w:rPr>
        <w:t>所述的计量方法确定应收票据的预期信用损失并进行会计处理。</w:t>
      </w:r>
    </w:p>
    <w:p w:rsidR="000C39A3" w:rsidRDefault="000C39A3">
      <w:pPr>
        <w:pStyle w:val="a4"/>
        <w:spacing w:before="120" w:beforeAutospacing="0" w:after="0" w:afterAutospacing="0" w:line="360" w:lineRule="auto"/>
        <w:ind w:firstLine="480"/>
        <w:jc w:val="both"/>
        <w:divId w:val="1953397660"/>
        <w:rPr>
          <w:rFonts w:ascii="Times New Roman" w:hAnsi="Times New Roman" w:cs="Times New Roman"/>
          <w:sz w:val="21"/>
          <w:szCs w:val="21"/>
        </w:rPr>
      </w:pPr>
      <w:r>
        <w:rPr>
          <w:rFonts w:cs="Times New Roman" w:hint="eastAsia"/>
          <w:color w:val="000000"/>
        </w:rPr>
        <w:t>对于应收票据、应收账款、应收款项融资，无论是否存在重大融资成分，本公司均按照整个存续期的预期信用损失计量损失准备。</w:t>
      </w:r>
    </w:p>
    <w:p w:rsidR="000C39A3" w:rsidRDefault="000C39A3">
      <w:pPr>
        <w:pStyle w:val="a4"/>
        <w:spacing w:before="120" w:beforeAutospacing="0" w:after="0" w:afterAutospacing="0" w:line="360" w:lineRule="auto"/>
        <w:ind w:firstLine="480"/>
        <w:jc w:val="both"/>
        <w:divId w:val="1953397660"/>
        <w:rPr>
          <w:rFonts w:ascii="Times New Roman" w:hAnsi="Times New Roman" w:cs="Times New Roman"/>
          <w:sz w:val="21"/>
          <w:szCs w:val="21"/>
        </w:rPr>
      </w:pPr>
      <w:r>
        <w:rPr>
          <w:rFonts w:cs="Times New Roman" w:hint="eastAsia"/>
          <w:color w:val="000000"/>
        </w:rPr>
        <w:t>对于存在客观证据表明存在减值，以及其他适用于单项评估的应收票据、应收账款，其他应收款、应收款项融资等单独进行减值测试，确认预期信用损失，计提单项减值准备。对于不存在减值客观证据的应收票据、应收账款、其他应收款、应收款项融资或当单项金融资产无法以合理成本评估预期信用损失的信息时，本公司依据信用风险特征将应收票据、应收账款、其他应收款、应收款项融资</w:t>
      </w:r>
      <w:r>
        <w:rPr>
          <w:rFonts w:cs="Times New Roman" w:hint="eastAsia"/>
        </w:rPr>
        <w:t>等划分为若干组合，在组合基础上计算预期信用损失，确定组合的依据如下：</w:t>
      </w:r>
    </w:p>
    <w:p w:rsidR="000C39A3" w:rsidRDefault="000C39A3">
      <w:pPr>
        <w:pStyle w:val="a4"/>
        <w:spacing w:before="120" w:beforeAutospacing="0" w:after="0" w:afterAutospacing="0" w:line="360" w:lineRule="auto"/>
        <w:ind w:firstLine="480"/>
        <w:jc w:val="both"/>
        <w:divId w:val="1953397660"/>
        <w:rPr>
          <w:rFonts w:ascii="Times New Roman" w:hAnsi="Times New Roman" w:cs="Times New Roman"/>
          <w:sz w:val="21"/>
          <w:szCs w:val="21"/>
        </w:rPr>
      </w:pPr>
      <w:r>
        <w:rPr>
          <w:rFonts w:cs="Times New Roman" w:hint="eastAsia"/>
          <w:color w:val="000000"/>
        </w:rPr>
        <w:t>应收票据确定组合的依据如下：</w:t>
      </w:r>
    </w:p>
    <w:p w:rsidR="000C39A3" w:rsidRDefault="000C39A3">
      <w:pPr>
        <w:pStyle w:val="a4"/>
        <w:spacing w:before="120" w:beforeAutospacing="0" w:after="0" w:afterAutospacing="0" w:line="360" w:lineRule="auto"/>
        <w:ind w:firstLine="480"/>
        <w:jc w:val="both"/>
        <w:divId w:val="1953397660"/>
        <w:rPr>
          <w:rFonts w:ascii="Times New Roman" w:hAnsi="Times New Roman" w:cs="Times New Roman"/>
          <w:sz w:val="21"/>
          <w:szCs w:val="21"/>
        </w:rPr>
      </w:pPr>
      <w:r>
        <w:rPr>
          <w:rFonts w:cs="Times New Roman" w:hint="eastAsia"/>
        </w:rPr>
        <w:t>组合</w:t>
      </w:r>
      <w:r>
        <w:rPr>
          <w:rFonts w:ascii="Times New Roman" w:hAnsi="Times New Roman" w:cs="Times New Roman"/>
        </w:rPr>
        <w:t xml:space="preserve">1 </w:t>
      </w:r>
      <w:r>
        <w:rPr>
          <w:rFonts w:cs="Times New Roman" w:hint="eastAsia"/>
        </w:rPr>
        <w:t>商业承兑汇票</w:t>
      </w:r>
      <w:r>
        <w:rPr>
          <w:rFonts w:ascii="Times New Roman" w:hAnsi="Times New Roman" w:cs="Times New Roman"/>
        </w:rPr>
        <w:t xml:space="preserve">   </w:t>
      </w:r>
      <w:r>
        <w:rPr>
          <w:rFonts w:cs="Times New Roman" w:hint="eastAsia"/>
        </w:rPr>
        <w:t>商业承兑汇票</w:t>
      </w:r>
    </w:p>
    <w:p w:rsidR="000C39A3" w:rsidRDefault="000C39A3">
      <w:pPr>
        <w:pStyle w:val="a4"/>
        <w:spacing w:before="120" w:beforeAutospacing="0" w:after="0" w:afterAutospacing="0" w:line="360" w:lineRule="auto"/>
        <w:ind w:firstLine="480"/>
        <w:jc w:val="both"/>
        <w:divId w:val="1953397660"/>
        <w:rPr>
          <w:rFonts w:ascii="Times New Roman" w:hAnsi="Times New Roman" w:cs="Times New Roman"/>
          <w:sz w:val="21"/>
          <w:szCs w:val="21"/>
        </w:rPr>
      </w:pPr>
      <w:r>
        <w:rPr>
          <w:rFonts w:cs="Times New Roman" w:hint="eastAsia"/>
        </w:rPr>
        <w:t>组合</w:t>
      </w:r>
      <w:r>
        <w:rPr>
          <w:rFonts w:ascii="Times New Roman" w:hAnsi="Times New Roman" w:cs="Times New Roman"/>
        </w:rPr>
        <w:t xml:space="preserve">2 </w:t>
      </w:r>
      <w:r>
        <w:rPr>
          <w:rFonts w:cs="Times New Roman" w:hint="eastAsia"/>
        </w:rPr>
        <w:t>其他银行承兑汇票</w:t>
      </w:r>
      <w:r>
        <w:rPr>
          <w:rFonts w:ascii="Times New Roman" w:hAnsi="Times New Roman" w:cs="Times New Roman"/>
        </w:rPr>
        <w:t xml:space="preserve">  </w:t>
      </w:r>
      <w:r>
        <w:rPr>
          <w:rFonts w:cs="Times New Roman" w:hint="eastAsia"/>
          <w:color w:val="000000"/>
        </w:rPr>
        <w:t>信用等级一般的承兑银行的银行承兑汇票组合</w:t>
      </w:r>
    </w:p>
    <w:p w:rsidR="000C39A3" w:rsidRDefault="000C39A3">
      <w:pPr>
        <w:pStyle w:val="a4"/>
        <w:spacing w:before="120" w:beforeAutospacing="0" w:after="0" w:afterAutospacing="0" w:line="360" w:lineRule="auto"/>
        <w:ind w:firstLine="480"/>
        <w:jc w:val="both"/>
        <w:divId w:val="1953397660"/>
        <w:rPr>
          <w:rFonts w:ascii="Times New Roman" w:hAnsi="Times New Roman" w:cs="Times New Roman"/>
          <w:sz w:val="21"/>
          <w:szCs w:val="21"/>
        </w:rPr>
      </w:pPr>
      <w:r>
        <w:rPr>
          <w:rFonts w:cs="Times New Roman" w:hint="eastAsia"/>
        </w:rPr>
        <w:lastRenderedPageBreak/>
        <w:t>对于应收票据组合，本公司参考历史信用损失经验，结合当前状况以及对未来经济状况的预测，通过违约风险敞口和整个存续期预期信用损失率，计算预期信用损失。</w:t>
      </w:r>
    </w:p>
    <w:p w:rsidR="0080594E" w:rsidRDefault="000C39A3">
      <w:pPr>
        <w:pStyle w:val="3"/>
        <w:spacing w:line="280" w:lineRule="exact"/>
        <w:jc w:val="left"/>
        <w:rPr>
          <w:rFonts w:ascii="宋体" w:hAnsi="宋体" w:cs="宋体"/>
          <w:b/>
          <w:bCs/>
        </w:rPr>
      </w:pPr>
      <w:bookmarkStart w:id="167" w:name="_Toc989055"/>
      <w:r>
        <w:rPr>
          <w:rFonts w:ascii="宋体" w:hAnsi="宋体" w:cs="宋体"/>
          <w:b/>
          <w:bCs/>
        </w:rPr>
        <w:t>9、应收账款</w:t>
      </w:r>
      <w:bookmarkEnd w:id="167"/>
    </w:p>
    <w:p w:rsidR="000C39A3" w:rsidRDefault="000C39A3" w:rsidP="008071B9">
      <w:pPr>
        <w:pStyle w:val="a4"/>
        <w:spacing w:before="0" w:beforeAutospacing="0" w:after="0" w:afterAutospacing="0" w:line="360" w:lineRule="auto"/>
        <w:ind w:firstLine="480"/>
        <w:jc w:val="both"/>
        <w:divId w:val="848368122"/>
        <w:rPr>
          <w:sz w:val="18"/>
          <w:szCs w:val="18"/>
        </w:rPr>
      </w:pPr>
      <w:r>
        <w:rPr>
          <w:rFonts w:cs="Times New Roman" w:hint="eastAsia"/>
        </w:rPr>
        <w:t>本公司按照第十节</w:t>
      </w:r>
      <w:r>
        <w:rPr>
          <w:rFonts w:ascii="Times New Roman" w:hAnsi="Times New Roman" w:cs="Times New Roman"/>
        </w:rPr>
        <w:t>“</w:t>
      </w:r>
      <w:r>
        <w:rPr>
          <w:rFonts w:cs="Times New Roman" w:hint="eastAsia"/>
        </w:rPr>
        <w:t>财务报告</w:t>
      </w:r>
      <w:r>
        <w:rPr>
          <w:rFonts w:ascii="Times New Roman" w:hAnsi="Times New Roman" w:cs="Times New Roman"/>
        </w:rPr>
        <w:t>”</w:t>
      </w:r>
      <w:r>
        <w:rPr>
          <w:rFonts w:cs="Times New Roman" w:hint="eastAsia"/>
        </w:rPr>
        <w:t>五</w:t>
      </w:r>
      <w:r>
        <w:rPr>
          <w:rFonts w:ascii="Times New Roman" w:hAnsi="Times New Roman" w:cs="Times New Roman"/>
        </w:rPr>
        <w:t>“</w:t>
      </w:r>
      <w:r>
        <w:rPr>
          <w:rFonts w:cs="Times New Roman" w:hint="eastAsia"/>
        </w:rPr>
        <w:t>重要会计政策及会计估计</w:t>
      </w:r>
      <w:r>
        <w:rPr>
          <w:rFonts w:ascii="Times New Roman" w:hAnsi="Times New Roman" w:cs="Times New Roman"/>
        </w:rPr>
        <w:t>”</w:t>
      </w:r>
      <w:r>
        <w:rPr>
          <w:rFonts w:cs="Times New Roman" w:hint="eastAsia"/>
        </w:rPr>
        <w:t>之7</w:t>
      </w:r>
      <w:r>
        <w:rPr>
          <w:rFonts w:ascii="Times New Roman" w:hAnsi="Times New Roman" w:cs="Times New Roman"/>
        </w:rPr>
        <w:t>“</w:t>
      </w:r>
      <w:r>
        <w:rPr>
          <w:rFonts w:cs="Times New Roman" w:hint="eastAsia"/>
        </w:rPr>
        <w:t>金融工具</w:t>
      </w:r>
      <w:r>
        <w:rPr>
          <w:rFonts w:ascii="Times New Roman" w:hAnsi="Times New Roman" w:cs="Times New Roman"/>
        </w:rPr>
        <w:t>”</w:t>
      </w:r>
      <w:r>
        <w:rPr>
          <w:rFonts w:cs="Times New Roman" w:hint="eastAsia"/>
        </w:rPr>
        <w:t>（</w:t>
      </w:r>
      <w:r>
        <w:rPr>
          <w:rFonts w:ascii="Times New Roman" w:hAnsi="Times New Roman" w:cs="Times New Roman"/>
        </w:rPr>
        <w:t>5</w:t>
      </w:r>
      <w:r>
        <w:rPr>
          <w:rFonts w:cs="Times New Roman" w:hint="eastAsia"/>
        </w:rPr>
        <w:t>）</w:t>
      </w:r>
      <w:r>
        <w:rPr>
          <w:rFonts w:ascii="Times New Roman" w:hAnsi="Times New Roman" w:cs="Times New Roman"/>
        </w:rPr>
        <w:t>“</w:t>
      </w:r>
      <w:r>
        <w:rPr>
          <w:rFonts w:cs="Times New Roman" w:hint="eastAsia"/>
        </w:rPr>
        <w:t>金融工具的减值</w:t>
      </w:r>
      <w:r>
        <w:rPr>
          <w:rFonts w:ascii="Times New Roman" w:hAnsi="Times New Roman" w:cs="Times New Roman"/>
        </w:rPr>
        <w:t>”</w:t>
      </w:r>
      <w:r>
        <w:rPr>
          <w:rFonts w:cs="Times New Roman" w:hint="eastAsia"/>
        </w:rPr>
        <w:t>所述的计量方法确定应收账款的预期信用损失并进行会计处理。</w:t>
      </w:r>
    </w:p>
    <w:p w:rsidR="000C39A3" w:rsidRDefault="000C39A3">
      <w:pPr>
        <w:pStyle w:val="a4"/>
        <w:spacing w:before="120" w:beforeAutospacing="0" w:after="0" w:afterAutospacing="0" w:line="360" w:lineRule="auto"/>
        <w:ind w:firstLine="480"/>
        <w:jc w:val="both"/>
        <w:divId w:val="848368122"/>
        <w:rPr>
          <w:rFonts w:ascii="Times New Roman" w:hAnsi="Times New Roman" w:cs="Times New Roman"/>
          <w:sz w:val="21"/>
          <w:szCs w:val="21"/>
        </w:rPr>
      </w:pPr>
      <w:r>
        <w:rPr>
          <w:rFonts w:cs="Times New Roman" w:hint="eastAsia"/>
          <w:color w:val="000000"/>
        </w:rPr>
        <w:t>应收账款确定组合的依据如下：</w:t>
      </w:r>
    </w:p>
    <w:p w:rsidR="000C39A3" w:rsidRDefault="000C39A3">
      <w:pPr>
        <w:pStyle w:val="a4"/>
        <w:spacing w:before="120" w:beforeAutospacing="0" w:after="0" w:afterAutospacing="0" w:line="360" w:lineRule="auto"/>
        <w:ind w:firstLine="480"/>
        <w:jc w:val="both"/>
        <w:divId w:val="848368122"/>
        <w:rPr>
          <w:rFonts w:ascii="Times New Roman" w:hAnsi="Times New Roman" w:cs="Times New Roman"/>
          <w:sz w:val="21"/>
          <w:szCs w:val="21"/>
        </w:rPr>
      </w:pPr>
      <w:r>
        <w:rPr>
          <w:rFonts w:cs="Times New Roman" w:hint="eastAsia"/>
        </w:rPr>
        <w:t>组合</w:t>
      </w:r>
      <w:r>
        <w:rPr>
          <w:rFonts w:ascii="Times New Roman" w:hAnsi="Times New Roman" w:cs="Times New Roman"/>
        </w:rPr>
        <w:t>1</w:t>
      </w:r>
      <w:r>
        <w:rPr>
          <w:rFonts w:cs="Times New Roman" w:hint="eastAsia"/>
        </w:rPr>
        <w:t>应收合并范围内关联方客户</w:t>
      </w:r>
    </w:p>
    <w:p w:rsidR="000C39A3" w:rsidRDefault="000C39A3">
      <w:pPr>
        <w:pStyle w:val="a4"/>
        <w:spacing w:before="120" w:beforeAutospacing="0" w:after="0" w:afterAutospacing="0" w:line="360" w:lineRule="auto"/>
        <w:ind w:firstLine="480"/>
        <w:jc w:val="both"/>
        <w:divId w:val="848368122"/>
        <w:rPr>
          <w:rFonts w:ascii="Times New Roman" w:hAnsi="Times New Roman" w:cs="Times New Roman"/>
          <w:sz w:val="21"/>
          <w:szCs w:val="21"/>
        </w:rPr>
      </w:pPr>
      <w:r>
        <w:rPr>
          <w:rFonts w:cs="Times New Roman" w:hint="eastAsia"/>
        </w:rPr>
        <w:t>组合</w:t>
      </w:r>
      <w:r>
        <w:rPr>
          <w:rFonts w:ascii="Times New Roman" w:hAnsi="Times New Roman" w:cs="Times New Roman"/>
        </w:rPr>
        <w:t>2</w:t>
      </w:r>
      <w:r>
        <w:rPr>
          <w:rFonts w:cs="Times New Roman" w:hint="eastAsia"/>
        </w:rPr>
        <w:t>应收其他客户</w:t>
      </w:r>
    </w:p>
    <w:p w:rsidR="000C39A3" w:rsidRDefault="000C39A3">
      <w:pPr>
        <w:pStyle w:val="a4"/>
        <w:spacing w:before="120" w:beforeAutospacing="0" w:after="0" w:afterAutospacing="0" w:line="360" w:lineRule="auto"/>
        <w:ind w:firstLine="480"/>
        <w:jc w:val="both"/>
        <w:divId w:val="848368122"/>
        <w:rPr>
          <w:rFonts w:ascii="Times New Roman" w:hAnsi="Times New Roman" w:cs="Times New Roman"/>
          <w:sz w:val="21"/>
          <w:szCs w:val="21"/>
        </w:rPr>
      </w:pPr>
      <w:r>
        <w:rPr>
          <w:rFonts w:cs="Times New Roman" w:hint="eastAsia"/>
          <w:color w:val="000000"/>
        </w:rPr>
        <w:t>其他应收款确定组合的依据如下：</w:t>
      </w:r>
    </w:p>
    <w:p w:rsidR="000C39A3" w:rsidRDefault="000C39A3">
      <w:pPr>
        <w:pStyle w:val="a4"/>
        <w:spacing w:before="120" w:beforeAutospacing="0" w:after="0" w:afterAutospacing="0" w:line="360" w:lineRule="auto"/>
        <w:ind w:firstLine="480"/>
        <w:jc w:val="both"/>
        <w:divId w:val="848368122"/>
        <w:rPr>
          <w:rFonts w:ascii="Times New Roman" w:hAnsi="Times New Roman" w:cs="Times New Roman"/>
          <w:sz w:val="21"/>
          <w:szCs w:val="21"/>
        </w:rPr>
      </w:pPr>
      <w:r>
        <w:rPr>
          <w:rFonts w:cs="Times New Roman" w:hint="eastAsia"/>
        </w:rPr>
        <w:t>组合</w:t>
      </w:r>
      <w:r>
        <w:rPr>
          <w:rFonts w:ascii="Times New Roman" w:hAnsi="Times New Roman" w:cs="Times New Roman"/>
        </w:rPr>
        <w:t>1</w:t>
      </w:r>
      <w:r>
        <w:rPr>
          <w:rFonts w:cs="Times New Roman" w:hint="eastAsia"/>
        </w:rPr>
        <w:t>应收合并范围内关联方往来</w:t>
      </w:r>
    </w:p>
    <w:p w:rsidR="000C39A3" w:rsidRDefault="000C39A3">
      <w:pPr>
        <w:pStyle w:val="a4"/>
        <w:spacing w:before="120" w:beforeAutospacing="0" w:after="0" w:afterAutospacing="0" w:line="360" w:lineRule="auto"/>
        <w:ind w:firstLine="480"/>
        <w:jc w:val="both"/>
        <w:divId w:val="848368122"/>
        <w:rPr>
          <w:rFonts w:ascii="Times New Roman" w:hAnsi="Times New Roman" w:cs="Times New Roman"/>
          <w:sz w:val="21"/>
          <w:szCs w:val="21"/>
        </w:rPr>
      </w:pPr>
      <w:r>
        <w:rPr>
          <w:rFonts w:cs="Times New Roman" w:hint="eastAsia"/>
        </w:rPr>
        <w:t>组合</w:t>
      </w:r>
      <w:r>
        <w:rPr>
          <w:rFonts w:ascii="Times New Roman" w:hAnsi="Times New Roman" w:cs="Times New Roman"/>
        </w:rPr>
        <w:t>2</w:t>
      </w:r>
      <w:r>
        <w:rPr>
          <w:rFonts w:cs="Times New Roman" w:hint="eastAsia"/>
        </w:rPr>
        <w:t>应收其他往来</w:t>
      </w:r>
    </w:p>
    <w:p w:rsidR="000C39A3" w:rsidRDefault="000C39A3">
      <w:pPr>
        <w:pStyle w:val="a4"/>
        <w:divId w:val="848368122"/>
        <w:rPr>
          <w:sz w:val="18"/>
          <w:szCs w:val="18"/>
        </w:rPr>
      </w:pPr>
      <w:r>
        <w:rPr>
          <w:rFonts w:hint="eastAsia"/>
        </w:rPr>
        <w:t>对于划分为组合</w:t>
      </w:r>
      <w:r>
        <w:rPr>
          <w:rFonts w:ascii="Times New Roman" w:hAnsi="Times New Roman" w:cs="Times New Roman"/>
        </w:rPr>
        <w:t>1</w:t>
      </w:r>
      <w:r>
        <w:rPr>
          <w:rFonts w:hint="eastAsia"/>
        </w:rPr>
        <w:t>的应收账款和其他应收款，不计提预期信用损失。对于划分为组合</w:t>
      </w:r>
      <w:r>
        <w:rPr>
          <w:rFonts w:ascii="Times New Roman" w:hAnsi="Times New Roman" w:cs="Times New Roman"/>
        </w:rPr>
        <w:t>2</w:t>
      </w:r>
      <w:r>
        <w:rPr>
          <w:rFonts w:hint="eastAsia"/>
        </w:rPr>
        <w:t>的应收账款和其他应收款，本公司参考历史信用损失经验，结合当前状况以及对未来经济状况的预测，通过违约风险敞口和整个存续期预期信用损失率，计算预期信用损失。</w:t>
      </w:r>
    </w:p>
    <w:p w:rsidR="0080594E" w:rsidRDefault="000C39A3">
      <w:pPr>
        <w:pStyle w:val="3"/>
        <w:spacing w:line="280" w:lineRule="exact"/>
        <w:jc w:val="left"/>
        <w:rPr>
          <w:rFonts w:ascii="宋体" w:hAnsi="宋体" w:cs="宋体"/>
          <w:b/>
          <w:bCs/>
        </w:rPr>
      </w:pPr>
      <w:bookmarkStart w:id="168" w:name="_Toc989056"/>
      <w:r>
        <w:rPr>
          <w:rFonts w:ascii="宋体" w:hAnsi="宋体" w:cs="宋体"/>
          <w:b/>
          <w:bCs/>
        </w:rPr>
        <w:t>10、应收款项融资</w:t>
      </w:r>
      <w:bookmarkEnd w:id="168"/>
    </w:p>
    <w:p w:rsidR="000C39A3" w:rsidRDefault="000C39A3">
      <w:pPr>
        <w:pStyle w:val="a4"/>
        <w:spacing w:before="120" w:beforeAutospacing="0" w:after="0" w:afterAutospacing="0" w:line="360" w:lineRule="auto"/>
        <w:ind w:firstLine="480"/>
        <w:jc w:val="both"/>
        <w:divId w:val="728842632"/>
        <w:rPr>
          <w:rFonts w:ascii="Times New Roman" w:hAnsi="Times New Roman" w:cs="Times New Roman"/>
          <w:sz w:val="21"/>
          <w:szCs w:val="21"/>
        </w:rPr>
      </w:pPr>
      <w:r>
        <w:rPr>
          <w:rFonts w:cs="Times New Roman" w:hint="eastAsia"/>
          <w:color w:val="000000"/>
        </w:rPr>
        <w:t>应收款项融资组合</w:t>
      </w:r>
      <w:r>
        <w:rPr>
          <w:rFonts w:ascii="Times New Roman" w:hAnsi="Times New Roman" w:cs="Times New Roman"/>
          <w:color w:val="000000"/>
        </w:rPr>
        <w:t xml:space="preserve">1  </w:t>
      </w:r>
      <w:r>
        <w:rPr>
          <w:rFonts w:cs="Times New Roman" w:hint="eastAsia"/>
          <w:color w:val="000000"/>
        </w:rPr>
        <w:t>信用等级较高的承兑银行的银行承兑汇票组合</w:t>
      </w:r>
    </w:p>
    <w:p w:rsidR="000C39A3" w:rsidRDefault="000C39A3">
      <w:pPr>
        <w:pStyle w:val="a4"/>
        <w:spacing w:before="120" w:beforeAutospacing="0" w:after="0" w:afterAutospacing="0" w:line="360" w:lineRule="auto"/>
        <w:ind w:firstLine="480"/>
        <w:jc w:val="both"/>
        <w:divId w:val="728842632"/>
        <w:rPr>
          <w:rFonts w:ascii="Times New Roman" w:hAnsi="Times New Roman" w:cs="Times New Roman"/>
          <w:sz w:val="21"/>
          <w:szCs w:val="21"/>
        </w:rPr>
      </w:pPr>
      <w:r>
        <w:rPr>
          <w:rFonts w:cs="Times New Roman" w:hint="eastAsia"/>
          <w:color w:val="000000"/>
        </w:rPr>
        <w:t>对于划分为组合的应收款项融资，本公司参考历史信用损失经验，结合当前状况以及对未来经济状况的预测，一般不计提预期信用损失。</w:t>
      </w:r>
    </w:p>
    <w:p w:rsidR="0080594E" w:rsidRDefault="000C39A3">
      <w:pPr>
        <w:pStyle w:val="3"/>
        <w:spacing w:line="280" w:lineRule="exact"/>
        <w:jc w:val="left"/>
        <w:rPr>
          <w:rFonts w:ascii="宋体" w:hAnsi="宋体" w:cs="宋体"/>
          <w:b/>
          <w:bCs/>
        </w:rPr>
      </w:pPr>
      <w:bookmarkStart w:id="169" w:name="_Toc989057"/>
      <w:r>
        <w:rPr>
          <w:rFonts w:ascii="宋体" w:hAnsi="宋体" w:cs="宋体"/>
          <w:b/>
          <w:bCs/>
        </w:rPr>
        <w:t>11、其他应收款</w:t>
      </w:r>
      <w:bookmarkEnd w:id="169"/>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其他应收款的预期信用损失的确定方法及会计处理方法</w:t>
      </w:r>
    </w:p>
    <w:p w:rsidR="000C39A3" w:rsidRPr="008071B9" w:rsidRDefault="000C39A3" w:rsidP="008071B9">
      <w:pPr>
        <w:pStyle w:val="a4"/>
        <w:spacing w:before="120" w:beforeAutospacing="0" w:line="360" w:lineRule="auto"/>
        <w:ind w:firstLine="480"/>
        <w:jc w:val="both"/>
        <w:divId w:val="581181103"/>
        <w:rPr>
          <w:rFonts w:cs="Times New Roman"/>
          <w:color w:val="000000"/>
        </w:rPr>
      </w:pPr>
      <w:r>
        <w:rPr>
          <w:rFonts w:hint="eastAsia"/>
        </w:rPr>
        <w:t xml:space="preserve">  </w:t>
      </w:r>
      <w:r w:rsidRPr="008071B9">
        <w:rPr>
          <w:rFonts w:cs="Times New Roman" w:hint="eastAsia"/>
          <w:color w:val="000000"/>
        </w:rPr>
        <w:t>本公司按照第十节</w:t>
      </w:r>
      <w:r w:rsidRPr="008071B9">
        <w:rPr>
          <w:rFonts w:cs="Times New Roman"/>
          <w:color w:val="000000"/>
        </w:rPr>
        <w:t>“</w:t>
      </w:r>
      <w:r w:rsidRPr="008071B9">
        <w:rPr>
          <w:rFonts w:cs="Times New Roman" w:hint="eastAsia"/>
          <w:color w:val="000000"/>
        </w:rPr>
        <w:t>财务报告</w:t>
      </w:r>
      <w:r w:rsidRPr="008071B9">
        <w:rPr>
          <w:rFonts w:cs="Times New Roman"/>
          <w:color w:val="000000"/>
        </w:rPr>
        <w:t>”</w:t>
      </w:r>
      <w:r w:rsidRPr="008071B9">
        <w:rPr>
          <w:rFonts w:cs="Times New Roman" w:hint="eastAsia"/>
          <w:color w:val="000000"/>
        </w:rPr>
        <w:t>五</w:t>
      </w:r>
      <w:r w:rsidRPr="008071B9">
        <w:rPr>
          <w:rFonts w:cs="Times New Roman"/>
          <w:color w:val="000000"/>
        </w:rPr>
        <w:t>“</w:t>
      </w:r>
      <w:r w:rsidRPr="008071B9">
        <w:rPr>
          <w:rFonts w:cs="Times New Roman" w:hint="eastAsia"/>
          <w:color w:val="000000"/>
        </w:rPr>
        <w:t>重要会计政策及会计估计</w:t>
      </w:r>
      <w:r w:rsidRPr="008071B9">
        <w:rPr>
          <w:rFonts w:cs="Times New Roman"/>
          <w:color w:val="000000"/>
        </w:rPr>
        <w:t>”</w:t>
      </w:r>
      <w:r w:rsidRPr="008071B9">
        <w:rPr>
          <w:rFonts w:cs="Times New Roman" w:hint="eastAsia"/>
          <w:color w:val="000000"/>
        </w:rPr>
        <w:t>之</w:t>
      </w:r>
      <w:r w:rsidRPr="008071B9">
        <w:rPr>
          <w:rFonts w:cs="Times New Roman"/>
          <w:color w:val="000000"/>
        </w:rPr>
        <w:t>7“</w:t>
      </w:r>
      <w:r w:rsidRPr="008071B9">
        <w:rPr>
          <w:rFonts w:cs="Times New Roman" w:hint="eastAsia"/>
          <w:color w:val="000000"/>
        </w:rPr>
        <w:t>金融工具</w:t>
      </w:r>
      <w:r w:rsidRPr="008071B9">
        <w:rPr>
          <w:rFonts w:cs="Times New Roman"/>
          <w:color w:val="000000"/>
        </w:rPr>
        <w:t>”</w:t>
      </w:r>
      <w:r w:rsidRPr="008071B9">
        <w:rPr>
          <w:rFonts w:cs="Times New Roman" w:hint="eastAsia"/>
          <w:color w:val="000000"/>
        </w:rPr>
        <w:t>（</w:t>
      </w:r>
      <w:r w:rsidRPr="008071B9">
        <w:rPr>
          <w:rFonts w:cs="Times New Roman"/>
          <w:color w:val="000000"/>
        </w:rPr>
        <w:t>5</w:t>
      </w:r>
      <w:r w:rsidRPr="008071B9">
        <w:rPr>
          <w:rFonts w:cs="Times New Roman" w:hint="eastAsia"/>
          <w:color w:val="000000"/>
        </w:rPr>
        <w:t>）</w:t>
      </w:r>
      <w:r w:rsidRPr="008071B9">
        <w:rPr>
          <w:rFonts w:cs="Times New Roman"/>
          <w:color w:val="000000"/>
        </w:rPr>
        <w:t>“</w:t>
      </w:r>
      <w:r w:rsidRPr="008071B9">
        <w:rPr>
          <w:rFonts w:cs="Times New Roman" w:hint="eastAsia"/>
          <w:color w:val="000000"/>
        </w:rPr>
        <w:t>金融工具的减值</w:t>
      </w:r>
      <w:r w:rsidRPr="008071B9">
        <w:rPr>
          <w:rFonts w:cs="Times New Roman"/>
          <w:color w:val="000000"/>
        </w:rPr>
        <w:t>”</w:t>
      </w:r>
      <w:r w:rsidRPr="008071B9">
        <w:rPr>
          <w:rFonts w:cs="Times New Roman" w:hint="eastAsia"/>
          <w:color w:val="000000"/>
        </w:rPr>
        <w:t>所述的计量方法确定其他应收款的预期信用损失并进行会计处理。</w:t>
      </w:r>
    </w:p>
    <w:p w:rsidR="0080594E" w:rsidRDefault="000C39A3">
      <w:pPr>
        <w:pStyle w:val="3"/>
        <w:spacing w:line="280" w:lineRule="exact"/>
        <w:jc w:val="left"/>
        <w:rPr>
          <w:rFonts w:ascii="宋体" w:hAnsi="宋体" w:cs="宋体"/>
          <w:b/>
          <w:bCs/>
        </w:rPr>
      </w:pPr>
      <w:bookmarkStart w:id="170" w:name="_Toc989058"/>
      <w:r>
        <w:rPr>
          <w:rFonts w:ascii="宋体" w:hAnsi="宋体" w:cs="宋体"/>
          <w:b/>
          <w:bCs/>
        </w:rPr>
        <w:t>12、存货</w:t>
      </w:r>
      <w:bookmarkEnd w:id="170"/>
    </w:p>
    <w:p w:rsidR="000C39A3" w:rsidRDefault="000C39A3">
      <w:pPr>
        <w:pStyle w:val="a4"/>
        <w:spacing w:before="120" w:beforeAutospacing="0" w:line="360" w:lineRule="auto"/>
        <w:ind w:firstLine="482"/>
        <w:jc w:val="both"/>
        <w:divId w:val="1099790637"/>
        <w:rPr>
          <w:rFonts w:ascii="Times New Roman" w:hAnsi="Times New Roman" w:cs="Times New Roman"/>
        </w:rPr>
      </w:pPr>
      <w:r>
        <w:rPr>
          <w:rStyle w:val="a5"/>
          <w:rFonts w:cs="Times New Roman" w:hint="eastAsia"/>
        </w:rPr>
        <w:t>（</w:t>
      </w:r>
      <w:r>
        <w:rPr>
          <w:rStyle w:val="a5"/>
          <w:rFonts w:ascii="Times New Roman" w:hAnsi="Times New Roman" w:cs="Times New Roman"/>
        </w:rPr>
        <w:t>1</w:t>
      </w:r>
      <w:r>
        <w:rPr>
          <w:rStyle w:val="a5"/>
          <w:rFonts w:cs="Times New Roman" w:hint="eastAsia"/>
        </w:rPr>
        <w:t>）</w:t>
      </w:r>
      <w:r>
        <w:rPr>
          <w:rStyle w:val="a5"/>
          <w:rFonts w:cs="Times New Roman" w:hint="eastAsia"/>
          <w:color w:val="000000"/>
        </w:rPr>
        <w:t>存货的分类</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color w:val="000000"/>
        </w:rPr>
        <w:lastRenderedPageBreak/>
        <w:t>存货是指本公司在日常活动中持有以备出售的产成品或商品、处在生产过程中的在产品、在生产过程或提供劳务过程中耗用的材料和物料等，包括原材料、在产品、自制半成品、库存商品、发出商品、委托加工物资、周转材料、合同履约成本等。</w:t>
      </w:r>
    </w:p>
    <w:p w:rsidR="000C39A3" w:rsidRDefault="000C39A3">
      <w:pPr>
        <w:pStyle w:val="a4"/>
        <w:spacing w:before="120" w:beforeAutospacing="0" w:line="360" w:lineRule="auto"/>
        <w:ind w:firstLine="482"/>
        <w:jc w:val="both"/>
        <w:divId w:val="1099790637"/>
        <w:rPr>
          <w:rFonts w:ascii="Times New Roman" w:hAnsi="Times New Roman" w:cs="Times New Roman"/>
        </w:rPr>
      </w:pPr>
      <w:r>
        <w:rPr>
          <w:rStyle w:val="a5"/>
          <w:rFonts w:cs="Times New Roman" w:hint="eastAsia"/>
          <w:color w:val="000000"/>
        </w:rPr>
        <w:t>（</w:t>
      </w:r>
      <w:r>
        <w:rPr>
          <w:rStyle w:val="a5"/>
          <w:rFonts w:ascii="Times New Roman" w:hAnsi="Times New Roman" w:cs="Times New Roman"/>
          <w:color w:val="000000"/>
        </w:rPr>
        <w:t>2</w:t>
      </w:r>
      <w:r>
        <w:rPr>
          <w:rStyle w:val="a5"/>
          <w:rFonts w:cs="Times New Roman" w:hint="eastAsia"/>
          <w:color w:val="000000"/>
        </w:rPr>
        <w:t>）发出存货的计价方法</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color w:val="000000"/>
        </w:rPr>
        <w:t>本公司存货发出时采用</w:t>
      </w:r>
      <w:r>
        <w:rPr>
          <w:rFonts w:cs="Times New Roman" w:hint="eastAsia"/>
        </w:rPr>
        <w:t>加权平均法</w:t>
      </w:r>
      <w:r>
        <w:rPr>
          <w:rFonts w:cs="Times New Roman" w:hint="eastAsia"/>
          <w:color w:val="000000"/>
        </w:rPr>
        <w:t>计价。</w:t>
      </w:r>
    </w:p>
    <w:p w:rsidR="000C39A3" w:rsidRDefault="000C39A3">
      <w:pPr>
        <w:pStyle w:val="a4"/>
        <w:spacing w:before="120" w:beforeAutospacing="0" w:line="360" w:lineRule="auto"/>
        <w:ind w:firstLine="482"/>
        <w:jc w:val="both"/>
        <w:divId w:val="1099790637"/>
        <w:rPr>
          <w:rFonts w:ascii="Times New Roman" w:hAnsi="Times New Roman" w:cs="Times New Roman"/>
        </w:rPr>
      </w:pPr>
      <w:r>
        <w:rPr>
          <w:rStyle w:val="a5"/>
          <w:rFonts w:cs="Times New Roman" w:hint="eastAsia"/>
          <w:color w:val="000000"/>
        </w:rPr>
        <w:t>（</w:t>
      </w:r>
      <w:r>
        <w:rPr>
          <w:rStyle w:val="a5"/>
          <w:rFonts w:ascii="Times New Roman" w:hAnsi="Times New Roman" w:cs="Times New Roman"/>
          <w:color w:val="000000"/>
        </w:rPr>
        <w:t>3</w:t>
      </w:r>
      <w:r>
        <w:rPr>
          <w:rStyle w:val="a5"/>
          <w:rFonts w:cs="Times New Roman" w:hint="eastAsia"/>
          <w:color w:val="000000"/>
        </w:rPr>
        <w:t>）存货的盘存制度</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color w:val="000000"/>
        </w:rPr>
        <w:t>本公司存货采用永续盘存制</w:t>
      </w:r>
      <w:r>
        <w:rPr>
          <w:rFonts w:cs="Times New Roman" w:hint="eastAsia"/>
        </w:rPr>
        <w:t>，每年至少盘点一次，盘盈及盘亏金额计入当年度损益。</w:t>
      </w:r>
    </w:p>
    <w:p w:rsidR="000C39A3" w:rsidRDefault="000C39A3">
      <w:pPr>
        <w:pStyle w:val="a4"/>
        <w:spacing w:before="120" w:beforeAutospacing="0" w:line="360" w:lineRule="auto"/>
        <w:ind w:firstLine="482"/>
        <w:jc w:val="both"/>
        <w:divId w:val="1099790637"/>
        <w:rPr>
          <w:rFonts w:ascii="Times New Roman" w:hAnsi="Times New Roman" w:cs="Times New Roman"/>
        </w:rPr>
      </w:pPr>
      <w:r>
        <w:rPr>
          <w:rStyle w:val="a5"/>
          <w:rFonts w:cs="Times New Roman" w:hint="eastAsia"/>
        </w:rPr>
        <w:t>（</w:t>
      </w:r>
      <w:r>
        <w:rPr>
          <w:rStyle w:val="a5"/>
          <w:rFonts w:ascii="Times New Roman" w:hAnsi="Times New Roman" w:cs="Times New Roman"/>
        </w:rPr>
        <w:t>4</w:t>
      </w:r>
      <w:r>
        <w:rPr>
          <w:rStyle w:val="a5"/>
          <w:rFonts w:cs="Times New Roman" w:hint="eastAsia"/>
        </w:rPr>
        <w:t>）存货跌价准备的计提方法</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rPr>
        <w:t>资产负债表日按成本与可变现净值孰低计量，存货成本高于其可变现净值的，计提存货跌价准备，计入当期损益。</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rPr>
        <w:t>在确定存货的可变现净值时，以取得的可靠证据为基础，并且考虑持有存货的目的、资产负债表日后事项的影响等因素。</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rPr>
        <w:t>①产成品、商品和用于出售的材料等直接用于出售的存货，在正常生产经营过程中，以该存货的估计售价减去估计的销售费用和相关税费后的金额确定其可变现净值。为执行销售合同或者劳务合同而持有的存货，以合同价格作为其可变现净值的计量基础；如果持有存货的数量多于销售合同订购数量，超出部分的存货可变现净值以一般销售价格为计量基础。用于出售的材料等，以市场价格作为其可变现净值的计量基础。</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rPr>
        <w:t>②需要经过加工的材料存货，在正常生产经营过程中，以所生产的产成品的估计售价减去至完工时估计将要发生的成本、估计的销售费用和相关税费后的金额确定其可变现净值。如果用其生产的产成品的可变现净值高于成本，则该材料按成本计量；如果材料价格的下降表明产成品的可变现净值低于成本，则该材料按可变现净值计量，按其差额计提存货跌价准备。</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rPr>
        <w:t>③存货跌价准备一般按单个存货项目计提；对于数量繁多、单价较低的存货，按存货类别计提。</w:t>
      </w:r>
    </w:p>
    <w:p w:rsidR="000C39A3" w:rsidRDefault="000C39A3">
      <w:pPr>
        <w:pStyle w:val="a4"/>
        <w:spacing w:before="120" w:beforeAutospacing="0" w:line="360" w:lineRule="auto"/>
        <w:ind w:firstLine="480"/>
        <w:jc w:val="both"/>
        <w:divId w:val="1099790637"/>
        <w:rPr>
          <w:rFonts w:ascii="Times New Roman" w:hAnsi="Times New Roman" w:cs="Times New Roman"/>
        </w:rPr>
      </w:pPr>
      <w:r>
        <w:rPr>
          <w:rFonts w:cs="Times New Roman" w:hint="eastAsia"/>
        </w:rPr>
        <w:lastRenderedPageBreak/>
        <w:t>④资产负债表日如果以前减记存货价值的影响因素已经消失，则减记的金额予以恢复，并在原已计提的存货跌价准备的金额内转回，转回的金额计入当期损益。</w:t>
      </w:r>
    </w:p>
    <w:p w:rsidR="000C39A3" w:rsidRDefault="000C39A3">
      <w:pPr>
        <w:pStyle w:val="a4"/>
        <w:spacing w:before="120" w:beforeAutospacing="0" w:line="360" w:lineRule="auto"/>
        <w:ind w:firstLine="482"/>
        <w:jc w:val="both"/>
        <w:divId w:val="1099790637"/>
        <w:rPr>
          <w:rFonts w:ascii="Times New Roman" w:hAnsi="Times New Roman" w:cs="Times New Roman"/>
        </w:rPr>
      </w:pPr>
      <w:r>
        <w:rPr>
          <w:rStyle w:val="a5"/>
          <w:rFonts w:cs="Times New Roman" w:hint="eastAsia"/>
          <w:color w:val="000000"/>
        </w:rPr>
        <w:t>（</w:t>
      </w:r>
      <w:r>
        <w:rPr>
          <w:rStyle w:val="a5"/>
          <w:rFonts w:ascii="Times New Roman" w:hAnsi="Times New Roman" w:cs="Times New Roman"/>
          <w:color w:val="000000"/>
        </w:rPr>
        <w:t>5</w:t>
      </w:r>
      <w:r>
        <w:rPr>
          <w:rStyle w:val="a5"/>
          <w:rFonts w:cs="Times New Roman" w:hint="eastAsia"/>
          <w:color w:val="000000"/>
        </w:rPr>
        <w:t>）周转材料的摊销方法</w:t>
      </w:r>
    </w:p>
    <w:p w:rsidR="000C39A3" w:rsidRPr="00B150CE" w:rsidRDefault="000C39A3">
      <w:pPr>
        <w:pStyle w:val="a4"/>
        <w:spacing w:before="120" w:beforeAutospacing="0" w:line="360" w:lineRule="auto"/>
        <w:ind w:firstLine="480"/>
        <w:jc w:val="both"/>
        <w:divId w:val="1099790637"/>
        <w:rPr>
          <w:rFonts w:cs="Times New Roman"/>
        </w:rPr>
      </w:pPr>
      <w:r w:rsidRPr="00B150CE">
        <w:rPr>
          <w:rFonts w:cs="Times New Roman" w:hint="eastAsia"/>
        </w:rPr>
        <w:t>①低值易耗品摊销方法：在领用时采用一次转销法。</w:t>
      </w:r>
    </w:p>
    <w:p w:rsidR="000C39A3" w:rsidRPr="00B150CE" w:rsidRDefault="000C39A3" w:rsidP="008071B9">
      <w:pPr>
        <w:pStyle w:val="a4"/>
        <w:spacing w:before="120" w:beforeAutospacing="0" w:line="360" w:lineRule="auto"/>
        <w:ind w:firstLine="480"/>
        <w:jc w:val="both"/>
        <w:divId w:val="1099790637"/>
        <w:rPr>
          <w:rFonts w:cs="Times New Roman"/>
        </w:rPr>
      </w:pPr>
      <w:r w:rsidRPr="00B150CE">
        <w:rPr>
          <w:rFonts w:cs="Times New Roman" w:hint="eastAsia"/>
        </w:rPr>
        <w:t>②包装物的摊销方法：在领用时采用一次转销法。</w:t>
      </w:r>
    </w:p>
    <w:p w:rsidR="0080594E" w:rsidRDefault="000C39A3">
      <w:pPr>
        <w:pStyle w:val="3"/>
        <w:spacing w:line="280" w:lineRule="exact"/>
        <w:jc w:val="left"/>
        <w:rPr>
          <w:rFonts w:ascii="宋体" w:hAnsi="宋体" w:cs="宋体"/>
          <w:b/>
          <w:bCs/>
        </w:rPr>
      </w:pPr>
      <w:bookmarkStart w:id="171" w:name="_Toc989059"/>
      <w:r>
        <w:rPr>
          <w:rFonts w:ascii="宋体" w:hAnsi="宋体" w:cs="宋体"/>
          <w:b/>
          <w:bCs/>
        </w:rPr>
        <w:t>13、合同资产</w:t>
      </w:r>
      <w:bookmarkEnd w:id="171"/>
    </w:p>
    <w:p w:rsidR="000C39A3" w:rsidRDefault="000C39A3">
      <w:pPr>
        <w:pStyle w:val="a4"/>
        <w:spacing w:before="120" w:beforeAutospacing="0" w:after="0" w:afterAutospacing="0" w:line="360" w:lineRule="auto"/>
        <w:ind w:firstLine="480"/>
        <w:jc w:val="both"/>
        <w:divId w:val="1387877999"/>
        <w:rPr>
          <w:rFonts w:ascii="Times New Roman" w:hAnsi="Times New Roman" w:cs="Times New Roman"/>
          <w:sz w:val="21"/>
          <w:szCs w:val="21"/>
        </w:rPr>
      </w:pPr>
      <w:r>
        <w:rPr>
          <w:rFonts w:cs="Times New Roman" w:hint="eastAsia"/>
        </w:rPr>
        <w:t>本公司根据履行履约义务与客户付款之间的关系在资产负债表中列示合同资产或合同负债。本公司已向客户转让商品或提供服务而有权收取的对价（且该权利取决于时间流逝之外的其他因素）列示为合同资产。本公司已收或应收客户对价而应向客户转让商品或提供服务的义务列示为合同负债。</w:t>
      </w:r>
    </w:p>
    <w:p w:rsidR="000C39A3" w:rsidRDefault="000C39A3">
      <w:pPr>
        <w:pStyle w:val="a4"/>
        <w:spacing w:before="120" w:beforeAutospacing="0" w:after="0" w:afterAutospacing="0" w:line="360" w:lineRule="auto"/>
        <w:ind w:firstLine="480"/>
        <w:jc w:val="both"/>
        <w:divId w:val="1387877999"/>
        <w:rPr>
          <w:rFonts w:ascii="Times New Roman" w:hAnsi="Times New Roman" w:cs="Times New Roman"/>
          <w:sz w:val="21"/>
          <w:szCs w:val="21"/>
        </w:rPr>
      </w:pPr>
      <w:r>
        <w:rPr>
          <w:rFonts w:cs="Times New Roman" w:hint="eastAsia"/>
        </w:rPr>
        <w:t>本公司对合同资产的预期信用损失的确定方法及会计处理方法</w:t>
      </w:r>
      <w:r>
        <w:rPr>
          <w:rFonts w:cs="Times New Roman" w:hint="eastAsia"/>
          <w:color w:val="000000"/>
        </w:rPr>
        <w:t>详见附注五、</w:t>
      </w:r>
      <w:r>
        <w:rPr>
          <w:rFonts w:ascii="Times New Roman" w:hAnsi="Times New Roman" w:cs="Times New Roman"/>
          <w:color w:val="000000"/>
        </w:rPr>
        <w:t>7</w:t>
      </w:r>
      <w:r>
        <w:rPr>
          <w:rFonts w:cs="Times New Roman" w:hint="eastAsia"/>
        </w:rPr>
        <w:t>。</w:t>
      </w:r>
    </w:p>
    <w:p w:rsidR="000C39A3" w:rsidRDefault="000C39A3">
      <w:pPr>
        <w:pStyle w:val="a4"/>
        <w:spacing w:before="120" w:beforeAutospacing="0" w:line="360" w:lineRule="auto"/>
        <w:ind w:firstLine="480"/>
        <w:jc w:val="both"/>
        <w:divId w:val="1387877999"/>
        <w:rPr>
          <w:rFonts w:ascii="Times New Roman" w:hAnsi="Times New Roman" w:cs="Times New Roman"/>
        </w:rPr>
      </w:pPr>
      <w:r>
        <w:rPr>
          <w:rFonts w:cs="Times New Roman" w:hint="eastAsia"/>
        </w:rPr>
        <w:t>合同资产和合同负债在资产负债表中单独列示。同一合同下的合同资产和合同负债以净额列示，净额为借方余额的，根据其流动性在“合同资产”或“其他非流动资产”项目中列示；净额为贷方余额的，根据其流动性在“合同负债”或“其他非流动负债”项目中列示。不同合同下的合同资产和合同负债不能相互抵销。</w:t>
      </w:r>
      <w:r>
        <w:rPr>
          <w:rFonts w:ascii="Times New Roman" w:hAnsi="Times New Roman" w:cs="Times New Roman"/>
        </w:rPr>
        <w:t xml:space="preserve"> </w:t>
      </w:r>
    </w:p>
    <w:p w:rsidR="0080594E" w:rsidRDefault="0080594E"/>
    <w:p w:rsidR="0080594E" w:rsidRDefault="000C39A3">
      <w:pPr>
        <w:pStyle w:val="3"/>
        <w:spacing w:line="280" w:lineRule="exact"/>
        <w:jc w:val="left"/>
        <w:rPr>
          <w:rFonts w:ascii="宋体" w:hAnsi="宋体" w:cs="宋体"/>
          <w:b/>
          <w:bCs/>
        </w:rPr>
      </w:pPr>
      <w:bookmarkStart w:id="172" w:name="_Toc989060"/>
      <w:r>
        <w:rPr>
          <w:rFonts w:ascii="宋体" w:hAnsi="宋体" w:cs="宋体"/>
          <w:b/>
          <w:bCs/>
        </w:rPr>
        <w:t>14、合同成本</w:t>
      </w:r>
      <w:bookmarkEnd w:id="172"/>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合同成本分为合同履约成本与合同取得成本。</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本公司为履行合同而发生的成本，在同时满足下列条件时作为合同履约成本确认为一项资产：</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①该成本与一份当前或预期取得的合同直接相关，包括直接人工、直接材料、制造费用</w:t>
      </w:r>
      <w:r>
        <w:rPr>
          <w:rFonts w:ascii="Times New Roman" w:hAnsi="Times New Roman" w:cs="Times New Roman"/>
        </w:rPr>
        <w:t xml:space="preserve"> </w:t>
      </w:r>
      <w:r>
        <w:rPr>
          <w:rFonts w:cs="Times New Roman" w:hint="eastAsia"/>
        </w:rPr>
        <w:t>（或类似费用）、明确由客户承担的成本以及仅因该合同而发生的其他成本。</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②该成本增加了本公司未来用于履行履约义务的资源。</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③该成本预期能够收回。</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lastRenderedPageBreak/>
        <w:t>本公司为取得合同发生的增量成本预期能够收回的，作为合同取得成本确认为一项资产。</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与合同成本有关的资产采用与该资产相关的商品或服务收入确认相同的基础进行摊销；但是对于合同取得成本摊销期限未超过一年的，本公司将其在发生时计入当期损益。</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与合同成本有关的资产，其账面价值高于下列两项的差额的，本公司将对于超出部分计提减值准备，并确认为资产减值损失，并进一步考虑是否应计提亏损合同有关的预计负债：</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①因转让与该资产相关的商品或服务预期能够取得的剩余对价；</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②为转让该相关商品或服务估计将要发生的成本。</w:t>
      </w:r>
    </w:p>
    <w:p w:rsidR="000C39A3" w:rsidRDefault="000C39A3">
      <w:pPr>
        <w:pStyle w:val="a4"/>
        <w:spacing w:before="120" w:beforeAutospacing="0" w:after="0" w:afterAutospacing="0" w:line="360" w:lineRule="auto"/>
        <w:ind w:firstLine="480"/>
        <w:jc w:val="both"/>
        <w:divId w:val="104930585"/>
        <w:rPr>
          <w:rFonts w:ascii="Times New Roman" w:hAnsi="Times New Roman" w:cs="Times New Roman"/>
          <w:sz w:val="21"/>
          <w:szCs w:val="21"/>
        </w:rPr>
      </w:pPr>
      <w:r>
        <w:rPr>
          <w:rFonts w:cs="Times New Roman" w:hint="eastAsia"/>
        </w:rPr>
        <w:t>上述资产减值准备后续发生转回的，转回后的资产账面价值不超过假定不计提减值准备情况下该资产在转回日的账面价值。</w:t>
      </w:r>
    </w:p>
    <w:p w:rsidR="000C39A3" w:rsidRDefault="000C39A3">
      <w:pPr>
        <w:pStyle w:val="a4"/>
        <w:spacing w:before="120" w:beforeAutospacing="0" w:after="216" w:afterAutospacing="0" w:line="360" w:lineRule="auto"/>
        <w:ind w:firstLine="480"/>
        <w:jc w:val="both"/>
        <w:divId w:val="104930585"/>
        <w:rPr>
          <w:rFonts w:ascii="Times New Roman" w:hAnsi="Times New Roman" w:cs="Times New Roman"/>
          <w:sz w:val="21"/>
          <w:szCs w:val="21"/>
        </w:rPr>
      </w:pPr>
      <w:r>
        <w:rPr>
          <w:rFonts w:cs="Times New Roman" w:hint="eastAsia"/>
        </w:rPr>
        <w:t>确认为资产的合同履约成本，初始确认时摊销期限不超过一年或一个正常营业周期，在“存货”项目中列示，初始确认时摊销期限超过一年或一个正常营业周期，在“其他非流动资产”项目中列示。</w:t>
      </w:r>
    </w:p>
    <w:p w:rsidR="000C39A3" w:rsidRPr="008071B9" w:rsidRDefault="000C39A3" w:rsidP="008071B9">
      <w:pPr>
        <w:pStyle w:val="a4"/>
        <w:spacing w:before="120" w:beforeAutospacing="0" w:after="216" w:afterAutospacing="0" w:line="360" w:lineRule="auto"/>
        <w:ind w:firstLine="480"/>
        <w:jc w:val="both"/>
        <w:divId w:val="104930585"/>
        <w:rPr>
          <w:rFonts w:cs="Times New Roman"/>
        </w:rPr>
      </w:pPr>
      <w:r w:rsidRPr="009E2405">
        <w:rPr>
          <w:rFonts w:cs="Times New Roman" w:hint="eastAsia"/>
        </w:rPr>
        <w:t>确认为资产的合同取得成本，初始确认时摊销期限不超过一年或一个正常营业周期，在“其他流动资产”项目中列示，初始确认时摊销期限超过一年或一个正常营业周期，在“其他非流动资产”项目中列示。</w:t>
      </w:r>
    </w:p>
    <w:p w:rsidR="0080594E" w:rsidRDefault="000C39A3">
      <w:pPr>
        <w:pStyle w:val="3"/>
        <w:spacing w:line="280" w:lineRule="exact"/>
        <w:jc w:val="left"/>
        <w:rPr>
          <w:rFonts w:ascii="宋体" w:hAnsi="宋体" w:cs="宋体"/>
          <w:b/>
          <w:bCs/>
        </w:rPr>
      </w:pPr>
      <w:bookmarkStart w:id="173" w:name="_Toc989061"/>
      <w:r>
        <w:rPr>
          <w:rFonts w:ascii="宋体" w:hAnsi="宋体" w:cs="宋体"/>
          <w:b/>
          <w:bCs/>
        </w:rPr>
        <w:t>15、投资性房地产</w:t>
      </w:r>
      <w:bookmarkEnd w:id="173"/>
    </w:p>
    <w:p w:rsidR="000C39A3" w:rsidRDefault="000C39A3">
      <w:pPr>
        <w:pStyle w:val="a4"/>
        <w:spacing w:before="120" w:beforeAutospacing="0" w:after="0" w:afterAutospacing="0" w:line="360" w:lineRule="auto"/>
        <w:ind w:firstLine="482"/>
        <w:jc w:val="both"/>
        <w:divId w:val="219830956"/>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）投资性房地产的分类</w:t>
      </w:r>
    </w:p>
    <w:p w:rsidR="000C39A3" w:rsidRDefault="000C39A3">
      <w:pPr>
        <w:pStyle w:val="a4"/>
        <w:spacing w:before="120" w:beforeAutospacing="0" w:after="0" w:afterAutospacing="0" w:line="360" w:lineRule="auto"/>
        <w:ind w:firstLine="480"/>
        <w:jc w:val="both"/>
        <w:divId w:val="219830956"/>
        <w:rPr>
          <w:rFonts w:ascii="Times New Roman" w:hAnsi="Times New Roman" w:cs="Times New Roman"/>
          <w:sz w:val="21"/>
          <w:szCs w:val="21"/>
        </w:rPr>
      </w:pPr>
      <w:r>
        <w:rPr>
          <w:rFonts w:cs="Times New Roman" w:hint="eastAsia"/>
          <w:color w:val="000000"/>
        </w:rPr>
        <w:t>投资性房产是指为赚取租金或资本增值，或两者兼有而持有的房地产。主要包括：</w:t>
      </w:r>
    </w:p>
    <w:p w:rsidR="000C39A3" w:rsidRDefault="000C39A3">
      <w:pPr>
        <w:pStyle w:val="a4"/>
        <w:spacing w:before="120" w:beforeAutospacing="0" w:after="0" w:afterAutospacing="0" w:line="360" w:lineRule="auto"/>
        <w:ind w:firstLine="480"/>
        <w:jc w:val="both"/>
        <w:divId w:val="219830956"/>
        <w:rPr>
          <w:rFonts w:ascii="Times New Roman" w:hAnsi="Times New Roman" w:cs="Times New Roman"/>
          <w:sz w:val="21"/>
          <w:szCs w:val="21"/>
        </w:rPr>
      </w:pPr>
      <w:r>
        <w:rPr>
          <w:rFonts w:cs="Times New Roman" w:hint="eastAsia"/>
          <w:color w:val="000000"/>
        </w:rPr>
        <w:t>①已出租的土地使用权。</w:t>
      </w:r>
    </w:p>
    <w:p w:rsidR="000C39A3" w:rsidRDefault="000C39A3">
      <w:pPr>
        <w:pStyle w:val="a4"/>
        <w:spacing w:before="120" w:beforeAutospacing="0" w:after="0" w:afterAutospacing="0" w:line="360" w:lineRule="auto"/>
        <w:ind w:firstLine="480"/>
        <w:jc w:val="both"/>
        <w:divId w:val="219830956"/>
        <w:rPr>
          <w:rFonts w:ascii="Times New Roman" w:hAnsi="Times New Roman" w:cs="Times New Roman"/>
          <w:sz w:val="21"/>
          <w:szCs w:val="21"/>
        </w:rPr>
      </w:pPr>
      <w:r>
        <w:rPr>
          <w:rFonts w:cs="Times New Roman" w:hint="eastAsia"/>
          <w:color w:val="000000"/>
        </w:rPr>
        <w:t>②持有并准备增值后转让的土地使用权。</w:t>
      </w:r>
    </w:p>
    <w:p w:rsidR="000C39A3" w:rsidRDefault="000C39A3">
      <w:pPr>
        <w:pStyle w:val="a4"/>
        <w:spacing w:before="120" w:beforeAutospacing="0" w:after="0" w:afterAutospacing="0" w:line="360" w:lineRule="auto"/>
        <w:ind w:firstLine="480"/>
        <w:jc w:val="both"/>
        <w:divId w:val="219830956"/>
        <w:rPr>
          <w:rFonts w:ascii="Times New Roman" w:hAnsi="Times New Roman" w:cs="Times New Roman"/>
          <w:sz w:val="21"/>
          <w:szCs w:val="21"/>
        </w:rPr>
      </w:pPr>
      <w:r>
        <w:rPr>
          <w:rFonts w:cs="Times New Roman" w:hint="eastAsia"/>
        </w:rPr>
        <w:t>③</w:t>
      </w:r>
      <w:r>
        <w:rPr>
          <w:rFonts w:cs="Times New Roman" w:hint="eastAsia"/>
          <w:color w:val="000000"/>
        </w:rPr>
        <w:t>已出租的建筑物。</w:t>
      </w:r>
    </w:p>
    <w:p w:rsidR="000C39A3" w:rsidRDefault="000C39A3">
      <w:pPr>
        <w:pStyle w:val="a4"/>
        <w:spacing w:before="120" w:beforeAutospacing="0" w:after="0" w:afterAutospacing="0" w:line="360" w:lineRule="auto"/>
        <w:ind w:firstLine="482"/>
        <w:jc w:val="both"/>
        <w:divId w:val="219830956"/>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2</w:t>
      </w:r>
      <w:r>
        <w:rPr>
          <w:rStyle w:val="a5"/>
          <w:rFonts w:cs="Times New Roman" w:hint="eastAsia"/>
          <w:color w:val="000000"/>
        </w:rPr>
        <w:t>）投资性房地产的计量模式</w:t>
      </w:r>
    </w:p>
    <w:p w:rsidR="000C39A3" w:rsidRDefault="000C39A3">
      <w:pPr>
        <w:pStyle w:val="a4"/>
        <w:spacing w:before="120" w:beforeAutospacing="0" w:after="0" w:afterAutospacing="0" w:line="360" w:lineRule="auto"/>
        <w:ind w:firstLine="480"/>
        <w:jc w:val="both"/>
        <w:divId w:val="219830956"/>
        <w:rPr>
          <w:rFonts w:ascii="Times New Roman" w:hAnsi="Times New Roman" w:cs="Times New Roman"/>
          <w:sz w:val="21"/>
          <w:szCs w:val="21"/>
        </w:rPr>
      </w:pPr>
      <w:r>
        <w:rPr>
          <w:rFonts w:cs="Times New Roman" w:hint="eastAsia"/>
          <w:color w:val="000000"/>
        </w:rPr>
        <w:t>本公司采用</w:t>
      </w:r>
      <w:r>
        <w:rPr>
          <w:rFonts w:cs="Times New Roman" w:hint="eastAsia"/>
        </w:rPr>
        <w:t>成本模式</w:t>
      </w:r>
      <w:r>
        <w:rPr>
          <w:rFonts w:cs="Times New Roman" w:hint="eastAsia"/>
          <w:color w:val="000000"/>
        </w:rPr>
        <w:t>对投资性房地产进行后续计量，计提资产减值方法见附注五、</w:t>
      </w:r>
      <w:r>
        <w:rPr>
          <w:rFonts w:ascii="Times New Roman" w:hAnsi="Times New Roman" w:cs="Times New Roman"/>
          <w:color w:val="000000"/>
        </w:rPr>
        <w:t>20</w:t>
      </w:r>
      <w:r>
        <w:rPr>
          <w:rFonts w:cs="Times New Roman" w:hint="eastAsia"/>
          <w:color w:val="000000"/>
        </w:rPr>
        <w:t>。</w:t>
      </w:r>
    </w:p>
    <w:p w:rsidR="000C39A3" w:rsidRDefault="000C39A3">
      <w:pPr>
        <w:pStyle w:val="a4"/>
        <w:spacing w:before="120" w:beforeAutospacing="0" w:after="0" w:afterAutospacing="0" w:line="360" w:lineRule="auto"/>
        <w:ind w:firstLine="480"/>
        <w:jc w:val="both"/>
        <w:divId w:val="219830956"/>
        <w:rPr>
          <w:rFonts w:ascii="Times New Roman" w:hAnsi="Times New Roman" w:cs="Times New Roman"/>
          <w:sz w:val="21"/>
          <w:szCs w:val="21"/>
        </w:rPr>
      </w:pPr>
      <w:r>
        <w:rPr>
          <w:rFonts w:cs="Times New Roman" w:hint="eastAsia"/>
          <w:color w:val="000000"/>
        </w:rPr>
        <w:lastRenderedPageBreak/>
        <w:t>本公司对投资性房地产成本减累计减值及净残值后按直线法计算折旧或摊销，投资性房地产的类别、估计的经济使用年限和预计的净残值率分别确定折旧年限和年折旧率如下：</w:t>
      </w:r>
    </w:p>
    <w:tbl>
      <w:tblPr>
        <w:tblW w:w="8844" w:type="dxa"/>
        <w:jc w:val="center"/>
        <w:tblCellMar>
          <w:left w:w="0" w:type="dxa"/>
          <w:right w:w="0" w:type="dxa"/>
        </w:tblCellMar>
        <w:tblLook w:val="04A0" w:firstRow="1" w:lastRow="0" w:firstColumn="1" w:lastColumn="0" w:noHBand="0" w:noVBand="1"/>
      </w:tblPr>
      <w:tblGrid>
        <w:gridCol w:w="2625"/>
        <w:gridCol w:w="1797"/>
        <w:gridCol w:w="2073"/>
        <w:gridCol w:w="2349"/>
      </w:tblGrid>
      <w:tr w:rsidR="000C39A3">
        <w:trPr>
          <w:divId w:val="219830956"/>
          <w:trHeight w:val="369"/>
          <w:tblHeader/>
          <w:jc w:val="center"/>
        </w:trPr>
        <w:tc>
          <w:tcPr>
            <w:tcW w:w="1484" w:type="pct"/>
            <w:tcBorders>
              <w:top w:val="single" w:sz="8" w:space="0" w:color="auto"/>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类</w:t>
            </w:r>
            <w:r>
              <w:rPr>
                <w:rFonts w:ascii="Times New Roman" w:hAnsi="Times New Roman" w:cs="Times New Roman"/>
                <w:sz w:val="21"/>
                <w:szCs w:val="21"/>
              </w:rPr>
              <w:t xml:space="preserve">  </w:t>
            </w:r>
            <w:r>
              <w:rPr>
                <w:rFonts w:cs="Times New Roman" w:hint="eastAsia"/>
                <w:sz w:val="21"/>
                <w:szCs w:val="21"/>
              </w:rPr>
              <w:t>别</w:t>
            </w:r>
          </w:p>
        </w:tc>
        <w:tc>
          <w:tcPr>
            <w:tcW w:w="1016"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400" w:lineRule="atLeast"/>
              <w:jc w:val="center"/>
              <w:rPr>
                <w:rFonts w:ascii="Times New Roman" w:hAnsi="Times New Roman" w:cs="Times New Roman"/>
                <w:sz w:val="21"/>
                <w:szCs w:val="21"/>
              </w:rPr>
            </w:pPr>
            <w:r>
              <w:rPr>
                <w:rFonts w:cs="Times New Roman" w:hint="eastAsia"/>
                <w:sz w:val="21"/>
                <w:szCs w:val="21"/>
              </w:rPr>
              <w:t>折旧年限（年）</w:t>
            </w:r>
          </w:p>
        </w:tc>
        <w:tc>
          <w:tcPr>
            <w:tcW w:w="1172"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400" w:lineRule="atLeast"/>
              <w:jc w:val="center"/>
              <w:rPr>
                <w:rFonts w:ascii="Times New Roman" w:hAnsi="Times New Roman" w:cs="Times New Roman"/>
                <w:sz w:val="21"/>
                <w:szCs w:val="21"/>
              </w:rPr>
            </w:pPr>
            <w:r>
              <w:rPr>
                <w:rFonts w:cs="Times New Roman" w:hint="eastAsia"/>
                <w:sz w:val="21"/>
                <w:szCs w:val="21"/>
              </w:rPr>
              <w:t>残值率（</w:t>
            </w:r>
            <w:r>
              <w:rPr>
                <w:rFonts w:ascii="Times New Roman" w:hAnsi="Times New Roman" w:cs="Times New Roman"/>
                <w:sz w:val="21"/>
                <w:szCs w:val="21"/>
              </w:rPr>
              <w:t>%</w:t>
            </w:r>
            <w:r>
              <w:rPr>
                <w:rFonts w:cs="Times New Roman" w:hint="eastAsia"/>
                <w:sz w:val="21"/>
                <w:szCs w:val="21"/>
              </w:rPr>
              <w:t>）</w:t>
            </w:r>
          </w:p>
        </w:tc>
        <w:tc>
          <w:tcPr>
            <w:tcW w:w="1328"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400" w:lineRule="atLeast"/>
              <w:jc w:val="center"/>
              <w:rPr>
                <w:rFonts w:ascii="Times New Roman" w:hAnsi="Times New Roman" w:cs="Times New Roman"/>
                <w:sz w:val="21"/>
                <w:szCs w:val="21"/>
              </w:rPr>
            </w:pPr>
            <w:r>
              <w:rPr>
                <w:rFonts w:cs="Times New Roman" w:hint="eastAsia"/>
                <w:sz w:val="21"/>
                <w:szCs w:val="21"/>
              </w:rPr>
              <w:t>年折旧率（</w:t>
            </w:r>
            <w:r>
              <w:rPr>
                <w:rFonts w:ascii="Times New Roman" w:hAnsi="Times New Roman" w:cs="Times New Roman"/>
                <w:sz w:val="21"/>
                <w:szCs w:val="21"/>
              </w:rPr>
              <w:t>%</w:t>
            </w:r>
            <w:r>
              <w:rPr>
                <w:rFonts w:cs="Times New Roman" w:hint="eastAsia"/>
                <w:sz w:val="21"/>
                <w:szCs w:val="21"/>
              </w:rPr>
              <w:t>）</w:t>
            </w:r>
          </w:p>
        </w:tc>
      </w:tr>
      <w:tr w:rsidR="000C39A3">
        <w:trPr>
          <w:divId w:val="219830956"/>
          <w:trHeight w:val="369"/>
          <w:jc w:val="center"/>
        </w:trPr>
        <w:tc>
          <w:tcPr>
            <w:tcW w:w="1484"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rPr>
                <w:rFonts w:ascii="Times New Roman" w:hAnsi="Times New Roman" w:cs="Times New Roman"/>
                <w:sz w:val="21"/>
                <w:szCs w:val="21"/>
              </w:rPr>
            </w:pPr>
            <w:r>
              <w:rPr>
                <w:rFonts w:cs="Times New Roman" w:hint="eastAsia"/>
                <w:sz w:val="21"/>
                <w:szCs w:val="21"/>
              </w:rPr>
              <w:t>房屋、建筑物</w:t>
            </w:r>
          </w:p>
        </w:tc>
        <w:tc>
          <w:tcPr>
            <w:tcW w:w="101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jc w:val="right"/>
              <w:rPr>
                <w:rFonts w:ascii="Times New Roman" w:hAnsi="Times New Roman" w:cs="Times New Roman"/>
                <w:sz w:val="21"/>
                <w:szCs w:val="21"/>
              </w:rPr>
            </w:pPr>
            <w:r>
              <w:rPr>
                <w:rFonts w:ascii="Times New Roman" w:hAnsi="Times New Roman" w:cs="Times New Roman"/>
                <w:sz w:val="21"/>
                <w:szCs w:val="21"/>
              </w:rPr>
              <w:t>20</w:t>
            </w:r>
          </w:p>
        </w:tc>
        <w:tc>
          <w:tcPr>
            <w:tcW w:w="117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jc w:val="right"/>
              <w:rPr>
                <w:rFonts w:ascii="Times New Roman" w:hAnsi="Times New Roman" w:cs="Times New Roman"/>
                <w:sz w:val="21"/>
                <w:szCs w:val="21"/>
              </w:rPr>
            </w:pPr>
            <w:r>
              <w:rPr>
                <w:rFonts w:ascii="Times New Roman" w:hAnsi="Times New Roman" w:cs="Times New Roman"/>
                <w:sz w:val="21"/>
                <w:szCs w:val="21"/>
              </w:rPr>
              <w:t>10.00</w:t>
            </w:r>
          </w:p>
        </w:tc>
        <w:tc>
          <w:tcPr>
            <w:tcW w:w="1328"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jc w:val="right"/>
              <w:rPr>
                <w:rFonts w:ascii="Times New Roman" w:hAnsi="Times New Roman" w:cs="Times New Roman"/>
                <w:sz w:val="21"/>
                <w:szCs w:val="21"/>
              </w:rPr>
            </w:pPr>
            <w:r>
              <w:rPr>
                <w:rFonts w:ascii="Times New Roman" w:hAnsi="Times New Roman" w:cs="Times New Roman"/>
                <w:sz w:val="21"/>
                <w:szCs w:val="21"/>
              </w:rPr>
              <w:t>4.50</w:t>
            </w:r>
          </w:p>
        </w:tc>
      </w:tr>
      <w:tr w:rsidR="000C39A3">
        <w:trPr>
          <w:divId w:val="219830956"/>
          <w:trHeight w:val="369"/>
          <w:jc w:val="center"/>
        </w:trPr>
        <w:tc>
          <w:tcPr>
            <w:tcW w:w="1484"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rPr>
                <w:rFonts w:ascii="Times New Roman" w:hAnsi="Times New Roman" w:cs="Times New Roman"/>
                <w:sz w:val="21"/>
                <w:szCs w:val="21"/>
              </w:rPr>
            </w:pPr>
            <w:r>
              <w:rPr>
                <w:rFonts w:cs="Times New Roman" w:hint="eastAsia"/>
                <w:sz w:val="21"/>
                <w:szCs w:val="21"/>
              </w:rPr>
              <w:t>土地使用权</w:t>
            </w:r>
          </w:p>
        </w:tc>
        <w:tc>
          <w:tcPr>
            <w:tcW w:w="101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jc w:val="right"/>
              <w:rPr>
                <w:rFonts w:ascii="Times New Roman" w:hAnsi="Times New Roman" w:cs="Times New Roman"/>
                <w:sz w:val="21"/>
                <w:szCs w:val="21"/>
              </w:rPr>
            </w:pPr>
            <w:r>
              <w:rPr>
                <w:rFonts w:ascii="Times New Roman" w:hAnsi="Times New Roman" w:cs="Times New Roman"/>
                <w:sz w:val="21"/>
                <w:szCs w:val="21"/>
              </w:rPr>
              <w:t>50</w:t>
            </w:r>
          </w:p>
        </w:tc>
        <w:tc>
          <w:tcPr>
            <w:tcW w:w="117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jc w:val="right"/>
              <w:rPr>
                <w:rFonts w:ascii="Times New Roman" w:hAnsi="Times New Roman" w:cs="Times New Roman"/>
                <w:sz w:val="21"/>
                <w:szCs w:val="21"/>
              </w:rPr>
            </w:pPr>
            <w:r>
              <w:rPr>
                <w:rFonts w:cs="Times New Roman" w:hint="eastAsia"/>
                <w:sz w:val="21"/>
                <w:szCs w:val="21"/>
              </w:rPr>
              <w:t>－</w:t>
            </w:r>
          </w:p>
        </w:tc>
        <w:tc>
          <w:tcPr>
            <w:tcW w:w="1328"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500" w:lineRule="atLeast"/>
              <w:jc w:val="right"/>
              <w:rPr>
                <w:rFonts w:ascii="Times New Roman" w:hAnsi="Times New Roman" w:cs="Times New Roman"/>
                <w:sz w:val="21"/>
                <w:szCs w:val="21"/>
              </w:rPr>
            </w:pPr>
            <w:r>
              <w:rPr>
                <w:rFonts w:ascii="Times New Roman" w:hAnsi="Times New Roman" w:cs="Times New Roman"/>
                <w:sz w:val="21"/>
                <w:szCs w:val="21"/>
              </w:rPr>
              <w:t>2.00</w:t>
            </w:r>
          </w:p>
        </w:tc>
      </w:tr>
    </w:tbl>
    <w:p w:rsidR="000C39A3" w:rsidRDefault="000C39A3">
      <w:pPr>
        <w:divId w:val="219830956"/>
      </w:pPr>
    </w:p>
    <w:p w:rsidR="0080594E" w:rsidRDefault="000C39A3">
      <w:pPr>
        <w:pStyle w:val="3"/>
        <w:spacing w:line="280" w:lineRule="exact"/>
        <w:jc w:val="left"/>
        <w:rPr>
          <w:rFonts w:ascii="宋体" w:hAnsi="宋体" w:cs="宋体"/>
          <w:b/>
          <w:bCs/>
        </w:rPr>
      </w:pPr>
      <w:bookmarkStart w:id="174" w:name="_Toc989062"/>
      <w:r>
        <w:rPr>
          <w:rFonts w:ascii="宋体" w:hAnsi="宋体" w:cs="宋体"/>
          <w:b/>
          <w:bCs/>
        </w:rPr>
        <w:t>16、固定资产</w:t>
      </w:r>
      <w:bookmarkEnd w:id="174"/>
    </w:p>
    <w:p w:rsidR="0080594E" w:rsidRDefault="000C39A3">
      <w:pPr>
        <w:keepNext/>
        <w:keepLines/>
        <w:spacing w:before="300" w:after="300" w:line="280" w:lineRule="exact"/>
        <w:outlineLvl w:val="3"/>
        <w:rPr>
          <w:rFonts w:ascii="宋体" w:eastAsia="宋体" w:hAnsi="宋体" w:cs="宋体"/>
          <w:b/>
          <w:bCs/>
          <w:szCs w:val="21"/>
        </w:rPr>
      </w:pPr>
      <w:bookmarkStart w:id="175" w:name="_Toc989063"/>
      <w:r>
        <w:rPr>
          <w:rFonts w:ascii="宋体" w:eastAsia="宋体" w:hAnsi="宋体" w:cs="宋体"/>
          <w:b/>
          <w:bCs/>
          <w:szCs w:val="21"/>
        </w:rPr>
        <w:t>（1） 确认条件</w:t>
      </w:r>
      <w:bookmarkEnd w:id="175"/>
    </w:p>
    <w:p w:rsidR="000C39A3" w:rsidRPr="008071B9" w:rsidRDefault="000C39A3" w:rsidP="008071B9">
      <w:pPr>
        <w:pStyle w:val="a4"/>
        <w:spacing w:before="120" w:beforeAutospacing="0" w:after="0" w:afterAutospacing="0" w:line="360" w:lineRule="auto"/>
        <w:ind w:firstLine="480"/>
        <w:jc w:val="both"/>
        <w:divId w:val="168109229"/>
        <w:rPr>
          <w:rFonts w:cs="Times New Roman"/>
          <w:color w:val="000000"/>
        </w:rPr>
      </w:pPr>
      <w:r w:rsidRPr="008071B9">
        <w:rPr>
          <w:rFonts w:cs="Times New Roman" w:hint="eastAsia"/>
          <w:color w:val="000000"/>
        </w:rPr>
        <w:t>固定资产在同时满足下列条件时，按取得时的实际成本予以确认：</w:t>
      </w:r>
    </w:p>
    <w:p w:rsidR="000C39A3" w:rsidRPr="008071B9" w:rsidRDefault="000C39A3" w:rsidP="008071B9">
      <w:pPr>
        <w:pStyle w:val="a4"/>
        <w:spacing w:before="120" w:beforeAutospacing="0" w:after="0" w:afterAutospacing="0" w:line="360" w:lineRule="auto"/>
        <w:ind w:firstLine="480"/>
        <w:jc w:val="both"/>
        <w:divId w:val="168109229"/>
        <w:rPr>
          <w:rFonts w:cs="Times New Roman"/>
          <w:color w:val="000000"/>
        </w:rPr>
      </w:pPr>
      <w:r w:rsidRPr="008071B9">
        <w:rPr>
          <w:rFonts w:cs="Times New Roman" w:hint="eastAsia"/>
          <w:color w:val="000000"/>
        </w:rPr>
        <w:t>①与该固定资产有关的经济利益很可能流入企业。</w:t>
      </w:r>
    </w:p>
    <w:p w:rsidR="000C39A3" w:rsidRPr="008071B9" w:rsidRDefault="000C39A3" w:rsidP="008071B9">
      <w:pPr>
        <w:pStyle w:val="a4"/>
        <w:spacing w:before="120" w:beforeAutospacing="0" w:after="0" w:afterAutospacing="0" w:line="360" w:lineRule="auto"/>
        <w:ind w:firstLine="480"/>
        <w:jc w:val="both"/>
        <w:divId w:val="168109229"/>
        <w:rPr>
          <w:rFonts w:cs="Times New Roman"/>
          <w:color w:val="000000"/>
        </w:rPr>
      </w:pPr>
      <w:r w:rsidRPr="008071B9">
        <w:rPr>
          <w:rFonts w:cs="Times New Roman" w:hint="eastAsia"/>
          <w:color w:val="000000"/>
        </w:rPr>
        <w:t>②该固定资产的成本能够可靠地计量。</w:t>
      </w:r>
    </w:p>
    <w:p w:rsidR="000C39A3" w:rsidRPr="008071B9" w:rsidRDefault="000C39A3" w:rsidP="008071B9">
      <w:pPr>
        <w:pStyle w:val="a4"/>
        <w:spacing w:before="120" w:beforeAutospacing="0" w:after="0" w:afterAutospacing="0" w:line="360" w:lineRule="auto"/>
        <w:ind w:firstLine="480"/>
        <w:jc w:val="both"/>
        <w:divId w:val="168109229"/>
        <w:rPr>
          <w:rFonts w:cs="Times New Roman"/>
          <w:color w:val="000000"/>
        </w:rPr>
      </w:pPr>
      <w:r w:rsidRPr="008071B9">
        <w:rPr>
          <w:rFonts w:cs="Times New Roman" w:hint="eastAsia"/>
          <w:color w:val="000000"/>
        </w:rPr>
        <w:t>固定资产发生的后续支出，符合固定资产确认条件的计入固定资产成本；不符合固定资产确认条件的在发生时计入当期损益。</w:t>
      </w:r>
    </w:p>
    <w:p w:rsidR="0080594E" w:rsidRDefault="000C39A3">
      <w:pPr>
        <w:keepNext/>
        <w:keepLines/>
        <w:spacing w:before="300" w:after="300" w:line="280" w:lineRule="exact"/>
        <w:outlineLvl w:val="3"/>
        <w:rPr>
          <w:rFonts w:ascii="宋体" w:eastAsia="宋体" w:hAnsi="宋体" w:cs="宋体"/>
          <w:b/>
          <w:bCs/>
          <w:szCs w:val="21"/>
        </w:rPr>
      </w:pPr>
      <w:bookmarkStart w:id="176" w:name="_Toc989064"/>
      <w:r>
        <w:rPr>
          <w:rFonts w:ascii="宋体" w:eastAsia="宋体" w:hAnsi="宋体" w:cs="宋体"/>
          <w:b/>
          <w:bCs/>
          <w:szCs w:val="21"/>
        </w:rPr>
        <w:t>（2） 折旧方法</w:t>
      </w:r>
      <w:bookmarkEnd w:id="176"/>
    </w:p>
    <w:p w:rsidR="0080594E" w:rsidRDefault="0080594E">
      <w:pPr>
        <w:spacing w:line="0" w:lineRule="atLeast"/>
      </w:pP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折旧方法</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折旧年限</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残值率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年折旧率</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房屋及建筑物</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10-20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4.50%-9.00%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机器设备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5-10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9.00%-18.00%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运输设备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5-10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9.00%-18.00%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办公设备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3-5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18.00%-30.00%</w:t>
            </w:r>
          </w:p>
        </w:tc>
      </w:tr>
    </w:tbl>
    <w:p w:rsidR="000C39A3" w:rsidRDefault="000C39A3">
      <w:pPr>
        <w:pStyle w:val="a4"/>
        <w:spacing w:before="120" w:beforeAutospacing="0" w:after="0" w:afterAutospacing="0" w:line="360" w:lineRule="auto"/>
        <w:ind w:firstLine="480"/>
        <w:jc w:val="both"/>
        <w:divId w:val="47462078"/>
        <w:rPr>
          <w:rFonts w:ascii="Times New Roman" w:hAnsi="Times New Roman" w:cs="Times New Roman"/>
          <w:sz w:val="21"/>
          <w:szCs w:val="21"/>
        </w:rPr>
      </w:pPr>
      <w:r>
        <w:rPr>
          <w:rFonts w:cs="Times New Roman" w:hint="eastAsia"/>
          <w:color w:val="000000"/>
        </w:rPr>
        <w:t>对于已经计提减值准备的固定资产，在计提折旧时扣除已计提的固定资产减值准备。</w:t>
      </w:r>
    </w:p>
    <w:p w:rsidR="000C39A3" w:rsidRPr="008071B9" w:rsidRDefault="000C39A3" w:rsidP="008071B9">
      <w:pPr>
        <w:pStyle w:val="a4"/>
        <w:spacing w:before="120" w:beforeAutospacing="0" w:after="0" w:afterAutospacing="0" w:line="360" w:lineRule="auto"/>
        <w:ind w:firstLine="480"/>
        <w:jc w:val="both"/>
        <w:divId w:val="47462078"/>
        <w:rPr>
          <w:rFonts w:cs="Times New Roman"/>
          <w:color w:val="000000"/>
        </w:rPr>
      </w:pPr>
      <w:r w:rsidRPr="008071B9">
        <w:rPr>
          <w:rFonts w:cs="Times New Roman" w:hint="eastAsia"/>
          <w:color w:val="000000"/>
        </w:rPr>
        <w:t>每年年度终了，公司对固定资产的使用寿命、预计净残值和折旧方法进行复核。使</w:t>
      </w:r>
      <w:r w:rsidRPr="009E2405">
        <w:rPr>
          <w:rFonts w:cs="Times New Roman" w:hint="eastAsia"/>
          <w:color w:val="000000"/>
        </w:rPr>
        <w:t>用寿命预计数与原先估计数有差异的，调整固定资产使用寿命。</w:t>
      </w:r>
    </w:p>
    <w:p w:rsidR="0080594E" w:rsidRDefault="000C39A3">
      <w:pPr>
        <w:pStyle w:val="3"/>
        <w:spacing w:line="280" w:lineRule="exact"/>
        <w:jc w:val="left"/>
        <w:rPr>
          <w:rFonts w:ascii="宋体" w:hAnsi="宋体" w:cs="宋体"/>
          <w:b/>
          <w:bCs/>
        </w:rPr>
      </w:pPr>
      <w:bookmarkStart w:id="177" w:name="_Toc989065"/>
      <w:r>
        <w:rPr>
          <w:rFonts w:ascii="宋体" w:hAnsi="宋体" w:cs="宋体"/>
          <w:b/>
          <w:bCs/>
        </w:rPr>
        <w:t>17、在建工程</w:t>
      </w:r>
      <w:bookmarkEnd w:id="177"/>
    </w:p>
    <w:p w:rsidR="000C39A3" w:rsidRDefault="000C39A3">
      <w:pPr>
        <w:pStyle w:val="a4"/>
        <w:spacing w:before="120" w:beforeAutospacing="0" w:after="0" w:afterAutospacing="0" w:line="360" w:lineRule="auto"/>
        <w:ind w:firstLine="480"/>
        <w:jc w:val="both"/>
        <w:divId w:val="525212140"/>
        <w:rPr>
          <w:rFonts w:ascii="Times New Roman" w:hAnsi="Times New Roman" w:cs="Times New Roman"/>
          <w:sz w:val="21"/>
          <w:szCs w:val="21"/>
        </w:rPr>
      </w:pPr>
      <w:r>
        <w:rPr>
          <w:rFonts w:cs="Times New Roman" w:hint="eastAsia"/>
          <w:color w:val="000000"/>
        </w:rPr>
        <w:t>（</w:t>
      </w:r>
      <w:r>
        <w:rPr>
          <w:rFonts w:ascii="Times New Roman" w:hAnsi="Times New Roman" w:cs="Times New Roman"/>
          <w:color w:val="000000"/>
        </w:rPr>
        <w:t>1</w:t>
      </w:r>
      <w:r>
        <w:rPr>
          <w:rFonts w:cs="Times New Roman" w:hint="eastAsia"/>
          <w:color w:val="000000"/>
        </w:rPr>
        <w:t>）在建工程以立项项目分类核算。</w:t>
      </w:r>
    </w:p>
    <w:p w:rsidR="000C39A3" w:rsidRDefault="000C39A3">
      <w:pPr>
        <w:pStyle w:val="a4"/>
        <w:spacing w:before="120" w:beforeAutospacing="0" w:after="0" w:afterAutospacing="0" w:line="360" w:lineRule="auto"/>
        <w:ind w:firstLine="480"/>
        <w:jc w:val="both"/>
        <w:divId w:val="525212140"/>
        <w:rPr>
          <w:rFonts w:ascii="Times New Roman" w:hAnsi="Times New Roman" w:cs="Times New Roman"/>
          <w:sz w:val="21"/>
          <w:szCs w:val="21"/>
        </w:rPr>
      </w:pPr>
      <w:r>
        <w:rPr>
          <w:rFonts w:cs="Times New Roman" w:hint="eastAsia"/>
          <w:color w:val="000000"/>
        </w:rPr>
        <w:t>（</w:t>
      </w:r>
      <w:r>
        <w:rPr>
          <w:rFonts w:ascii="Times New Roman" w:hAnsi="Times New Roman" w:cs="Times New Roman"/>
          <w:color w:val="000000"/>
        </w:rPr>
        <w:t>2</w:t>
      </w:r>
      <w:r>
        <w:rPr>
          <w:rFonts w:cs="Times New Roman" w:hint="eastAsia"/>
          <w:color w:val="000000"/>
        </w:rPr>
        <w:t>）在建工程结转为固定资产的标准和时点</w:t>
      </w:r>
    </w:p>
    <w:p w:rsidR="000C39A3" w:rsidRDefault="000C39A3">
      <w:pPr>
        <w:pStyle w:val="a4"/>
        <w:spacing w:before="120" w:beforeAutospacing="0" w:after="0" w:afterAutospacing="0" w:line="360" w:lineRule="auto"/>
        <w:ind w:firstLine="480"/>
        <w:jc w:val="both"/>
        <w:divId w:val="525212140"/>
        <w:rPr>
          <w:rFonts w:ascii="Times New Roman" w:hAnsi="Times New Roman" w:cs="Times New Roman"/>
          <w:sz w:val="21"/>
          <w:szCs w:val="21"/>
        </w:rPr>
      </w:pPr>
      <w:r>
        <w:rPr>
          <w:rFonts w:cs="Times New Roman" w:hint="eastAsia"/>
          <w:color w:val="000000"/>
        </w:rPr>
        <w:t>在建工程项目按建造该项资产达到预定可使用状态前所发生的全部支出，作为固定资产的入账价值。包括建筑费用、机器设备原价、其他为使在建工程达到预定可使用状态所</w:t>
      </w:r>
      <w:r>
        <w:rPr>
          <w:rFonts w:cs="Times New Roman" w:hint="eastAsia"/>
          <w:color w:val="000000"/>
        </w:rPr>
        <w:lastRenderedPageBreak/>
        <w:t>发生的必要支出以及在资产达到预定可使用状态之前为该项目专门借款所发生的借款费用及占用的一般借款发生的借款费用。本公司在工程安装或建设完成达到预定可使用状态时将在建工程转入固定资产。所建造的已达到预定可使用状态、但尚未办理竣工决算的固定资产，自达到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p w:rsidR="0080594E" w:rsidRDefault="000C39A3">
      <w:pPr>
        <w:pStyle w:val="3"/>
        <w:spacing w:line="280" w:lineRule="exact"/>
        <w:jc w:val="left"/>
        <w:rPr>
          <w:rFonts w:ascii="宋体" w:hAnsi="宋体" w:cs="宋体"/>
          <w:b/>
          <w:bCs/>
        </w:rPr>
      </w:pPr>
      <w:bookmarkStart w:id="178" w:name="_Toc989066"/>
      <w:r>
        <w:rPr>
          <w:rFonts w:ascii="宋体" w:hAnsi="宋体" w:cs="宋体"/>
          <w:b/>
          <w:bCs/>
        </w:rPr>
        <w:t>18、借款费用</w:t>
      </w:r>
      <w:bookmarkEnd w:id="178"/>
    </w:p>
    <w:p w:rsidR="000C39A3" w:rsidRDefault="000C39A3">
      <w:pPr>
        <w:pStyle w:val="a4"/>
        <w:spacing w:before="120" w:beforeAutospacing="0" w:after="0" w:afterAutospacing="0" w:line="360" w:lineRule="auto"/>
        <w:ind w:firstLine="482"/>
        <w:jc w:val="both"/>
        <w:divId w:val="290014633"/>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w:t>
      </w:r>
      <w:r>
        <w:rPr>
          <w:rStyle w:val="a5"/>
          <w:rFonts w:cs="Times New Roman" w:hint="eastAsia"/>
          <w:color w:val="000000"/>
        </w:rPr>
        <w:t>借款费用资本化的确认原则和资本化期间</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本公司发生的可直接归属于符合资本化条件的资产的购建或生产的借款费用在同时满足下列条件时予以资本化计入相关资产成本：</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①资产支出已经发生；</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②借款费用已经发生；</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③为使资产达到预定可使用状态所必要的购建或者生产活动已经开始。</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其他的借款利息、折价或溢价和汇兑差额，计入发生当期的损益。</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符合资本化条件的资产在购建或者生产过程中发生非正常中断，且中断时间连续超过</w:t>
      </w:r>
      <w:r>
        <w:rPr>
          <w:rFonts w:ascii="Times New Roman" w:hAnsi="Times New Roman" w:cs="Times New Roman"/>
          <w:color w:val="000000"/>
        </w:rPr>
        <w:t>3</w:t>
      </w:r>
      <w:r>
        <w:rPr>
          <w:rFonts w:cs="Times New Roman" w:hint="eastAsia"/>
          <w:color w:val="000000"/>
        </w:rPr>
        <w:t>个月的，暂停借款费用的资本化。</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当购建或者生产符合资本化条件的资产达到预定可使用或者可销售状态时，停止其借款费用的资本化；以后发生的借款费用于发生当期确认为费用。</w:t>
      </w:r>
    </w:p>
    <w:p w:rsidR="000C39A3" w:rsidRDefault="000C39A3">
      <w:pPr>
        <w:pStyle w:val="a4"/>
        <w:spacing w:before="120" w:beforeAutospacing="0" w:after="0" w:afterAutospacing="0" w:line="360" w:lineRule="auto"/>
        <w:ind w:firstLine="482"/>
        <w:jc w:val="both"/>
        <w:divId w:val="290014633"/>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2</w:t>
      </w:r>
      <w:r>
        <w:rPr>
          <w:rStyle w:val="a5"/>
          <w:rFonts w:cs="Times New Roman" w:hint="eastAsia"/>
          <w:color w:val="000000"/>
        </w:rPr>
        <w:t>）借款费用资本化率以及资本化金额的计算方法</w:t>
      </w:r>
    </w:p>
    <w:p w:rsidR="000C39A3" w:rsidRDefault="000C39A3">
      <w:pPr>
        <w:pStyle w:val="a4"/>
        <w:spacing w:before="120" w:beforeAutospacing="0" w:after="0" w:afterAutospacing="0" w:line="360" w:lineRule="auto"/>
        <w:ind w:firstLine="480"/>
        <w:jc w:val="both"/>
        <w:divId w:val="290014633"/>
        <w:rPr>
          <w:rFonts w:ascii="Times New Roman" w:hAnsi="Times New Roman" w:cs="Times New Roman"/>
          <w:sz w:val="21"/>
          <w:szCs w:val="21"/>
        </w:rPr>
      </w:pPr>
      <w:r>
        <w:rPr>
          <w:rFonts w:cs="Times New Roman" w:hint="eastAsia"/>
          <w:color w:val="000000"/>
        </w:rPr>
        <w:t>为购建或者生产符合资本化条件的资产而借入专门借款的，以专门借款当期实际发生的利息费用，减去将尚未动用的借款资金存入银行取得的利息收入或者进行暂时性投资取得的投资收益后的金额，确定为专门借款利息费用的资本化金额。</w:t>
      </w:r>
    </w:p>
    <w:p w:rsidR="000C39A3" w:rsidRDefault="000C39A3" w:rsidP="008071B9">
      <w:pPr>
        <w:pStyle w:val="a4"/>
        <w:spacing w:before="120" w:beforeAutospacing="0" w:after="0" w:afterAutospacing="0" w:line="360" w:lineRule="auto"/>
        <w:ind w:firstLineChars="200" w:firstLine="480"/>
        <w:jc w:val="both"/>
        <w:divId w:val="290014633"/>
        <w:rPr>
          <w:rFonts w:ascii="Times New Roman" w:hAnsi="Times New Roman" w:cs="Times New Roman"/>
          <w:sz w:val="21"/>
          <w:szCs w:val="21"/>
        </w:rPr>
      </w:pPr>
      <w:r>
        <w:rPr>
          <w:rFonts w:cs="Times New Roman" w:hint="eastAsia"/>
          <w:color w:val="000000"/>
        </w:rPr>
        <w:t>购建或者生产符合资本化条件的资产占用了一般借款的，一般借款应予资本化的利息金额按累计资产支出超过专门借款部分的资产支出加权平均数乘以所占用一般借款的资本化率，计算确定一般借款应予资本化的利息金额。资本化率根据一般借款加权平均利率计算确定。</w:t>
      </w:r>
    </w:p>
    <w:p w:rsidR="00CA6713" w:rsidRPr="00CA6713" w:rsidRDefault="000C39A3" w:rsidP="00CA6713">
      <w:pPr>
        <w:pStyle w:val="3"/>
        <w:spacing w:line="280" w:lineRule="exact"/>
        <w:jc w:val="left"/>
        <w:divId w:val="271203584"/>
        <w:rPr>
          <w:rFonts w:ascii="宋体" w:hAnsi="宋体" w:cs="宋体"/>
          <w:b/>
          <w:bCs/>
        </w:rPr>
      </w:pPr>
      <w:bookmarkStart w:id="179" w:name="_Toc989067"/>
      <w:r>
        <w:rPr>
          <w:rFonts w:ascii="宋体" w:hAnsi="宋体" w:cs="宋体"/>
          <w:b/>
          <w:bCs/>
        </w:rPr>
        <w:lastRenderedPageBreak/>
        <w:t>19、无形资产</w:t>
      </w:r>
      <w:bookmarkEnd w:id="179"/>
    </w:p>
    <w:p w:rsidR="000C39A3" w:rsidRDefault="000C39A3">
      <w:pPr>
        <w:pStyle w:val="a4"/>
        <w:spacing w:before="120" w:beforeAutospacing="0" w:after="0" w:afterAutospacing="0" w:line="360" w:lineRule="auto"/>
        <w:ind w:firstLine="482"/>
        <w:jc w:val="both"/>
        <w:divId w:val="271203584"/>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w:t>
      </w:r>
      <w:r>
        <w:rPr>
          <w:rStyle w:val="a5"/>
          <w:rFonts w:cs="Times New Roman" w:hint="eastAsia"/>
          <w:color w:val="000000"/>
        </w:rPr>
        <w:t>无形资产的计价方法</w:t>
      </w:r>
    </w:p>
    <w:p w:rsidR="000C39A3" w:rsidRDefault="000C39A3">
      <w:pPr>
        <w:pStyle w:val="a4"/>
        <w:spacing w:before="120" w:beforeAutospacing="0" w:after="0" w:afterAutospacing="0" w:line="360" w:lineRule="auto"/>
        <w:ind w:firstLine="480"/>
        <w:jc w:val="both"/>
        <w:divId w:val="271203584"/>
        <w:rPr>
          <w:rFonts w:ascii="Times New Roman" w:hAnsi="Times New Roman" w:cs="Times New Roman"/>
          <w:sz w:val="21"/>
          <w:szCs w:val="21"/>
        </w:rPr>
      </w:pPr>
      <w:r>
        <w:rPr>
          <w:rFonts w:cs="Times New Roman" w:hint="eastAsia"/>
          <w:color w:val="000000"/>
        </w:rPr>
        <w:t>按取得时的实际成本入账。</w:t>
      </w:r>
    </w:p>
    <w:p w:rsidR="000C39A3" w:rsidRDefault="000C39A3">
      <w:pPr>
        <w:pStyle w:val="a4"/>
        <w:spacing w:before="120" w:beforeAutospacing="0" w:after="0" w:afterAutospacing="0" w:line="360" w:lineRule="auto"/>
        <w:ind w:firstLine="482"/>
        <w:jc w:val="both"/>
        <w:divId w:val="271203584"/>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2</w:t>
      </w:r>
      <w:r>
        <w:rPr>
          <w:rStyle w:val="a5"/>
          <w:rFonts w:cs="Times New Roman" w:hint="eastAsia"/>
          <w:color w:val="000000"/>
        </w:rPr>
        <w:t>）无形资产使用寿命及摊销</w:t>
      </w:r>
    </w:p>
    <w:p w:rsidR="000C39A3" w:rsidRDefault="000C39A3">
      <w:pPr>
        <w:pStyle w:val="a4"/>
        <w:spacing w:before="120" w:beforeAutospacing="0" w:after="0" w:afterAutospacing="0" w:line="360" w:lineRule="auto"/>
        <w:ind w:firstLine="480"/>
        <w:jc w:val="both"/>
        <w:divId w:val="271203584"/>
        <w:rPr>
          <w:rFonts w:ascii="Times New Roman" w:hAnsi="Times New Roman" w:cs="Times New Roman"/>
          <w:sz w:val="21"/>
          <w:szCs w:val="21"/>
        </w:rPr>
      </w:pPr>
      <w:r>
        <w:rPr>
          <w:rFonts w:cs="Times New Roman" w:hint="eastAsia"/>
          <w:color w:val="000000"/>
        </w:rPr>
        <w:t>①使用寿命有限的无形资产的使用寿命估计情况：</w:t>
      </w:r>
    </w:p>
    <w:tbl>
      <w:tblPr>
        <w:tblW w:w="8844" w:type="dxa"/>
        <w:jc w:val="center"/>
        <w:tblCellMar>
          <w:left w:w="0" w:type="dxa"/>
          <w:right w:w="0" w:type="dxa"/>
        </w:tblCellMar>
        <w:tblLook w:val="04A0" w:firstRow="1" w:lastRow="0" w:firstColumn="1" w:lastColumn="0" w:noHBand="0" w:noVBand="1"/>
      </w:tblPr>
      <w:tblGrid>
        <w:gridCol w:w="2372"/>
        <w:gridCol w:w="1841"/>
        <w:gridCol w:w="4631"/>
      </w:tblGrid>
      <w:tr w:rsidR="000C39A3">
        <w:trPr>
          <w:divId w:val="271203584"/>
          <w:trHeight w:val="369"/>
          <w:tblHeader/>
          <w:jc w:val="center"/>
        </w:trPr>
        <w:tc>
          <w:tcPr>
            <w:tcW w:w="1341" w:type="pct"/>
            <w:tcBorders>
              <w:top w:val="single" w:sz="8" w:space="0" w:color="auto"/>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项</w:t>
            </w:r>
            <w:r>
              <w:rPr>
                <w:rFonts w:ascii="Times New Roman" w:hAnsi="Times New Roman" w:cs="Times New Roman"/>
                <w:sz w:val="21"/>
                <w:szCs w:val="21"/>
              </w:rPr>
              <w:t xml:space="preserve">  </w:t>
            </w:r>
            <w:r>
              <w:rPr>
                <w:rFonts w:cs="Times New Roman" w:hint="eastAsia"/>
                <w:sz w:val="21"/>
                <w:szCs w:val="21"/>
              </w:rPr>
              <w:t>目</w:t>
            </w:r>
          </w:p>
        </w:tc>
        <w:tc>
          <w:tcPr>
            <w:tcW w:w="1041"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预计使用寿命</w:t>
            </w:r>
          </w:p>
        </w:tc>
        <w:tc>
          <w:tcPr>
            <w:tcW w:w="2618"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依据</w:t>
            </w:r>
          </w:p>
        </w:tc>
      </w:tr>
      <w:tr w:rsidR="000C39A3">
        <w:trPr>
          <w:divId w:val="271203584"/>
          <w:trHeight w:val="369"/>
          <w:jc w:val="center"/>
        </w:trPr>
        <w:tc>
          <w:tcPr>
            <w:tcW w:w="1341"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rPr>
                <w:rFonts w:ascii="Times New Roman" w:hAnsi="Times New Roman" w:cs="Times New Roman"/>
                <w:sz w:val="21"/>
                <w:szCs w:val="21"/>
              </w:rPr>
            </w:pPr>
            <w:r>
              <w:rPr>
                <w:rFonts w:cs="Times New Roman" w:hint="eastAsia"/>
                <w:sz w:val="21"/>
                <w:szCs w:val="21"/>
              </w:rPr>
              <w:t>土地使用权</w:t>
            </w:r>
          </w:p>
        </w:tc>
        <w:tc>
          <w:tcPr>
            <w:tcW w:w="104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ascii="Times New Roman" w:hAnsi="Times New Roman" w:cs="Times New Roman"/>
                <w:sz w:val="21"/>
                <w:szCs w:val="21"/>
              </w:rPr>
              <w:t>50</w:t>
            </w:r>
            <w:r>
              <w:rPr>
                <w:rFonts w:cs="Times New Roman" w:hint="eastAsia"/>
                <w:sz w:val="21"/>
                <w:szCs w:val="21"/>
              </w:rPr>
              <w:t>年</w:t>
            </w:r>
          </w:p>
        </w:tc>
        <w:tc>
          <w:tcPr>
            <w:tcW w:w="2618"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rPr>
                <w:rFonts w:ascii="Times New Roman" w:hAnsi="Times New Roman" w:cs="Times New Roman"/>
                <w:sz w:val="21"/>
                <w:szCs w:val="21"/>
              </w:rPr>
            </w:pPr>
            <w:r>
              <w:rPr>
                <w:rFonts w:cs="Times New Roman" w:hint="eastAsia"/>
                <w:sz w:val="21"/>
                <w:szCs w:val="21"/>
              </w:rPr>
              <w:t>法定使用权</w:t>
            </w:r>
          </w:p>
        </w:tc>
      </w:tr>
      <w:tr w:rsidR="000C39A3">
        <w:trPr>
          <w:divId w:val="271203584"/>
          <w:trHeight w:val="369"/>
          <w:jc w:val="center"/>
        </w:trPr>
        <w:tc>
          <w:tcPr>
            <w:tcW w:w="1341"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rPr>
                <w:rFonts w:ascii="Times New Roman" w:hAnsi="Times New Roman" w:cs="Times New Roman"/>
                <w:sz w:val="21"/>
                <w:szCs w:val="21"/>
              </w:rPr>
            </w:pPr>
            <w:r>
              <w:rPr>
                <w:rFonts w:cs="Times New Roman" w:hint="eastAsia"/>
                <w:sz w:val="21"/>
                <w:szCs w:val="21"/>
              </w:rPr>
              <w:t>计算机软件</w:t>
            </w:r>
          </w:p>
        </w:tc>
        <w:tc>
          <w:tcPr>
            <w:tcW w:w="104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ascii="Times New Roman" w:hAnsi="Times New Roman" w:cs="Times New Roman"/>
                <w:sz w:val="21"/>
                <w:szCs w:val="21"/>
              </w:rPr>
              <w:t>3-5</w:t>
            </w:r>
            <w:r>
              <w:rPr>
                <w:rFonts w:cs="Times New Roman" w:hint="eastAsia"/>
                <w:sz w:val="21"/>
                <w:szCs w:val="21"/>
              </w:rPr>
              <w:t>年</w:t>
            </w:r>
          </w:p>
        </w:tc>
        <w:tc>
          <w:tcPr>
            <w:tcW w:w="2618"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rPr>
                <w:rFonts w:ascii="Times New Roman" w:hAnsi="Times New Roman" w:cs="Times New Roman"/>
                <w:sz w:val="21"/>
                <w:szCs w:val="21"/>
              </w:rPr>
            </w:pPr>
            <w:r>
              <w:rPr>
                <w:rFonts w:cs="Times New Roman" w:hint="eastAsia"/>
                <w:sz w:val="21"/>
                <w:szCs w:val="21"/>
              </w:rPr>
              <w:t>参考能为公司带来经济利益的期限确定使用寿命</w:t>
            </w:r>
          </w:p>
        </w:tc>
      </w:tr>
    </w:tbl>
    <w:p w:rsidR="000C39A3" w:rsidRDefault="000C39A3">
      <w:pPr>
        <w:pStyle w:val="a4"/>
        <w:spacing w:before="120" w:beforeAutospacing="0" w:after="0" w:afterAutospacing="0" w:line="360" w:lineRule="auto"/>
        <w:ind w:firstLine="480"/>
        <w:jc w:val="both"/>
        <w:divId w:val="271203584"/>
        <w:rPr>
          <w:rFonts w:ascii="Times New Roman" w:hAnsi="Times New Roman" w:cs="Times New Roman"/>
          <w:sz w:val="21"/>
          <w:szCs w:val="21"/>
        </w:rPr>
      </w:pPr>
      <w:r>
        <w:rPr>
          <w:rFonts w:cs="Times New Roman" w:hint="eastAsia"/>
        </w:rPr>
        <w:t>每年年度终了，公司对使用寿命有限的无形资产的使用寿命及摊销方法进行复核。经复核，本期末无形资产的使用寿命及摊销方法与以前估计未有不同。</w:t>
      </w:r>
    </w:p>
    <w:p w:rsidR="000C39A3" w:rsidRDefault="000C39A3">
      <w:pPr>
        <w:pStyle w:val="a4"/>
        <w:spacing w:before="120" w:beforeAutospacing="0" w:after="0" w:afterAutospacing="0" w:line="360" w:lineRule="auto"/>
        <w:ind w:firstLine="480"/>
        <w:jc w:val="both"/>
        <w:divId w:val="271203584"/>
        <w:rPr>
          <w:rFonts w:ascii="Times New Roman" w:hAnsi="Times New Roman" w:cs="Times New Roman"/>
          <w:sz w:val="21"/>
          <w:szCs w:val="21"/>
        </w:rPr>
      </w:pPr>
      <w:r>
        <w:rPr>
          <w:rFonts w:cs="Times New Roman" w:hint="eastAsia"/>
        </w:rPr>
        <w:t>②</w:t>
      </w:r>
      <w:r>
        <w:rPr>
          <w:rFonts w:cs="Times New Roman" w:hint="eastAsia"/>
          <w:color w:val="000000"/>
        </w:rPr>
        <w:t>无法预见无形资产为企业带来经济利益期限的，视为使用寿命不确定的无形资产。对于使用寿命不确定的无形资产，公</w:t>
      </w:r>
      <w:r>
        <w:rPr>
          <w:rFonts w:cs="Times New Roman" w:hint="eastAsia"/>
        </w:rPr>
        <w:t>司在每年年度终了对使用寿命不确定的无形资产的使用寿命进行复核，如果重新复核后仍为不确定的，于资产负债表日进行减值测试。</w:t>
      </w:r>
    </w:p>
    <w:p w:rsidR="000C39A3" w:rsidRDefault="000C39A3">
      <w:pPr>
        <w:pStyle w:val="a4"/>
        <w:spacing w:before="120" w:beforeAutospacing="0" w:after="0" w:afterAutospacing="0" w:line="360" w:lineRule="auto"/>
        <w:ind w:firstLine="480"/>
        <w:jc w:val="both"/>
        <w:divId w:val="271203584"/>
      </w:pPr>
      <w:r>
        <w:rPr>
          <w:rFonts w:hint="eastAsia"/>
          <w:color w:val="000000"/>
        </w:rPr>
        <w:t>③无形资产的摊销</w:t>
      </w:r>
    </w:p>
    <w:p w:rsidR="000C39A3" w:rsidRDefault="000C39A3">
      <w:pPr>
        <w:pStyle w:val="a4"/>
        <w:spacing w:before="120" w:beforeAutospacing="0" w:after="0" w:afterAutospacing="0" w:line="360" w:lineRule="auto"/>
        <w:ind w:firstLine="480"/>
        <w:jc w:val="both"/>
        <w:divId w:val="271203584"/>
        <w:rPr>
          <w:rFonts w:ascii="Times New Roman" w:hAnsi="Times New Roman" w:cs="Times New Roman"/>
          <w:sz w:val="21"/>
          <w:szCs w:val="21"/>
        </w:rPr>
      </w:pPr>
      <w:r>
        <w:rPr>
          <w:rFonts w:cs="Times New Roman" w:hint="eastAsia"/>
          <w:color w:val="000000"/>
        </w:rPr>
        <w:t>对于使用寿命有限的无形资产，本公司在取得时确定其使用寿命，在使用寿命内采用</w:t>
      </w:r>
      <w:r>
        <w:rPr>
          <w:rFonts w:cs="Times New Roman" w:hint="eastAsia"/>
        </w:rPr>
        <w:t>直线法</w:t>
      </w:r>
      <w:r>
        <w:rPr>
          <w:rFonts w:cs="Times New Roman" w:hint="eastAsia"/>
          <w:color w:val="000000"/>
        </w:rPr>
        <w:t>系统合理摊销，摊销金额按受益项目计入当期损益</w:t>
      </w:r>
      <w:r>
        <w:rPr>
          <w:rFonts w:cs="Times New Roman" w:hint="eastAsia"/>
          <w:color w:val="FF0000"/>
        </w:rPr>
        <w:t>。</w:t>
      </w:r>
      <w:r>
        <w:rPr>
          <w:rFonts w:cs="Times New Roman" w:hint="eastAsia"/>
        </w:rPr>
        <w:t>具体应摊销金额为其成本扣除预计残值后的金额。已计提减值准备的无形资产，还应扣除已计提的无形资产减值准备累计金额。使用寿命有限的无形资产，其残值视为零，但下列情况除外：有第三方承诺在无形资产使用寿命结束时购买该无形资产或可以根据活跃市场得到预计残值信息，并且该市场在无形资产使用寿命结束时很可能存在。</w:t>
      </w:r>
    </w:p>
    <w:p w:rsidR="0080594E" w:rsidRDefault="000C39A3" w:rsidP="008071B9">
      <w:pPr>
        <w:pStyle w:val="a4"/>
        <w:spacing w:before="120" w:beforeAutospacing="0" w:after="0" w:afterAutospacing="0" w:line="360" w:lineRule="auto"/>
        <w:ind w:firstLine="480"/>
        <w:jc w:val="both"/>
        <w:divId w:val="271203584"/>
      </w:pPr>
      <w:r>
        <w:rPr>
          <w:rFonts w:cs="Times New Roman" w:hint="eastAsia"/>
          <w:color w:val="000000"/>
        </w:rPr>
        <w:t>对使用寿命不确定的无形资产，不予摊销。</w:t>
      </w:r>
      <w:r>
        <w:rPr>
          <w:rFonts w:cs="Times New Roman" w:hint="eastAsia"/>
        </w:rPr>
        <w:t>每年年度终了对</w:t>
      </w:r>
      <w:r>
        <w:rPr>
          <w:rFonts w:cs="Times New Roman" w:hint="eastAsia"/>
          <w:color w:val="000000"/>
        </w:rPr>
        <w:t>使用寿命不确定的无形资产的使用寿命进行复核，如果有证据表明无形资产的使用寿命是有限的，估计其使用寿命并在预计使用年限内系统合理摊销。</w:t>
      </w:r>
    </w:p>
    <w:p w:rsidR="000C39A3" w:rsidRDefault="000C39A3">
      <w:pPr>
        <w:pStyle w:val="a4"/>
        <w:spacing w:before="120" w:beforeAutospacing="0" w:after="0" w:afterAutospacing="0" w:line="360" w:lineRule="auto"/>
        <w:ind w:firstLine="482"/>
        <w:jc w:val="both"/>
        <w:divId w:val="1258099679"/>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3</w:t>
      </w:r>
      <w:r>
        <w:rPr>
          <w:rStyle w:val="a5"/>
          <w:rFonts w:cs="Times New Roman" w:hint="eastAsia"/>
          <w:color w:val="000000"/>
        </w:rPr>
        <w:t>）划分内部研究开发项目的研究阶段和开发阶段具体标准</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cs="Times New Roman" w:hint="eastAsia"/>
        </w:rPr>
        <w:t>①本公司将为进一步开发活动进行的资料及相关方面的准备活动作为研究阶段，无形资产研究阶段的支出在发生时计入当期损益。</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cs="Times New Roman" w:hint="eastAsia"/>
        </w:rPr>
        <w:t>②在本公司已完成研究阶段的工作后再进行的开发活动作为开发阶段。</w:t>
      </w:r>
    </w:p>
    <w:p w:rsidR="000C39A3" w:rsidRDefault="000C39A3">
      <w:pPr>
        <w:pStyle w:val="a4"/>
        <w:spacing w:before="120" w:beforeAutospacing="0" w:after="0" w:afterAutospacing="0" w:line="360" w:lineRule="auto"/>
        <w:ind w:firstLine="482"/>
        <w:jc w:val="both"/>
        <w:divId w:val="1258099679"/>
        <w:rPr>
          <w:rFonts w:ascii="Times New Roman" w:hAnsi="Times New Roman" w:cs="Times New Roman"/>
          <w:sz w:val="21"/>
          <w:szCs w:val="21"/>
        </w:rPr>
      </w:pPr>
      <w:r>
        <w:rPr>
          <w:rStyle w:val="a5"/>
          <w:rFonts w:cs="Times New Roman" w:hint="eastAsia"/>
        </w:rPr>
        <w:lastRenderedPageBreak/>
        <w:t>（</w:t>
      </w:r>
      <w:r>
        <w:rPr>
          <w:rStyle w:val="a5"/>
          <w:rFonts w:ascii="Times New Roman" w:hAnsi="Times New Roman" w:cs="Times New Roman"/>
        </w:rPr>
        <w:t>4</w:t>
      </w:r>
      <w:r>
        <w:rPr>
          <w:rStyle w:val="a5"/>
          <w:rFonts w:cs="Times New Roman" w:hint="eastAsia"/>
        </w:rPr>
        <w:t>）开发阶段支出资本化的具体条件</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cs="Times New Roman" w:hint="eastAsia"/>
        </w:rPr>
        <w:t>开发阶段的支出同时满足下列条件时，才能确认为无形资产：</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ascii="Times New Roman" w:hAnsi="Times New Roman" w:cs="Times New Roman"/>
        </w:rPr>
        <w:t>A.</w:t>
      </w:r>
      <w:r>
        <w:rPr>
          <w:rFonts w:cs="Times New Roman" w:hint="eastAsia"/>
        </w:rPr>
        <w:t>完成该无形资产以使其能够使用或出售在技术上具有可行性；</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ascii="Times New Roman" w:hAnsi="Times New Roman" w:cs="Times New Roman"/>
        </w:rPr>
        <w:t>B.</w:t>
      </w:r>
      <w:r>
        <w:rPr>
          <w:rFonts w:cs="Times New Roman" w:hint="eastAsia"/>
        </w:rPr>
        <w:t>具有完成该无形资产并使用或出售的意图；</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ascii="Times New Roman" w:hAnsi="Times New Roman" w:cs="Times New Roman"/>
        </w:rPr>
        <w:t>C.</w:t>
      </w:r>
      <w:r>
        <w:rPr>
          <w:rFonts w:cs="Times New Roman" w:hint="eastAsia"/>
        </w:rPr>
        <w:t>无形资产产生经济利益的方式，包括能够证明运用该无形资产生产的产品存在市场或无形资产自身存在市场，无形资产将在内部使用的，能够证明其有用性；</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ascii="Times New Roman" w:hAnsi="Times New Roman" w:cs="Times New Roman"/>
        </w:rPr>
        <w:t>D.</w:t>
      </w:r>
      <w:r>
        <w:rPr>
          <w:rFonts w:cs="Times New Roman" w:hint="eastAsia"/>
        </w:rPr>
        <w:t>有足够的技术、财务资源和其他资源支持，以完成该无形资产的开发，并有能力使用或出售该无形资产；</w:t>
      </w:r>
    </w:p>
    <w:p w:rsidR="000C39A3" w:rsidRDefault="000C39A3">
      <w:pPr>
        <w:pStyle w:val="a4"/>
        <w:spacing w:before="120" w:beforeAutospacing="0" w:after="0" w:afterAutospacing="0" w:line="360" w:lineRule="auto"/>
        <w:ind w:firstLine="480"/>
        <w:jc w:val="both"/>
        <w:divId w:val="1258099679"/>
        <w:rPr>
          <w:rFonts w:ascii="Times New Roman" w:hAnsi="Times New Roman" w:cs="Times New Roman"/>
          <w:sz w:val="21"/>
          <w:szCs w:val="21"/>
        </w:rPr>
      </w:pPr>
      <w:r>
        <w:rPr>
          <w:rFonts w:ascii="Times New Roman" w:hAnsi="Times New Roman" w:cs="Times New Roman"/>
        </w:rPr>
        <w:t>E.</w:t>
      </w:r>
      <w:r>
        <w:rPr>
          <w:rFonts w:cs="Times New Roman" w:hint="eastAsia"/>
        </w:rPr>
        <w:t>归属于该无形资产开发阶段的支出能够可靠地计量。</w:t>
      </w:r>
    </w:p>
    <w:p w:rsidR="0080594E" w:rsidRDefault="000C39A3">
      <w:pPr>
        <w:pStyle w:val="3"/>
        <w:spacing w:line="280" w:lineRule="exact"/>
        <w:jc w:val="left"/>
        <w:rPr>
          <w:rFonts w:ascii="宋体" w:hAnsi="宋体" w:cs="宋体"/>
          <w:b/>
          <w:bCs/>
        </w:rPr>
      </w:pPr>
      <w:bookmarkStart w:id="180" w:name="_Toc989070"/>
      <w:r>
        <w:rPr>
          <w:rFonts w:ascii="宋体" w:hAnsi="宋体" w:cs="宋体"/>
          <w:b/>
          <w:bCs/>
        </w:rPr>
        <w:t>20、长期资产减值</w:t>
      </w:r>
      <w:bookmarkEnd w:id="180"/>
    </w:p>
    <w:p w:rsidR="009E2405" w:rsidRPr="008071B9" w:rsidRDefault="009E2405" w:rsidP="009E2405">
      <w:pPr>
        <w:adjustRightInd w:val="0"/>
        <w:spacing w:before="120" w:line="360" w:lineRule="auto"/>
        <w:ind w:firstLineChars="200" w:firstLine="480"/>
        <w:divId w:val="1411196487"/>
        <w:rPr>
          <w:rFonts w:ascii="宋体" w:eastAsia="宋体" w:hAnsi="宋体"/>
          <w:kern w:val="0"/>
          <w:sz w:val="24"/>
        </w:rPr>
      </w:pPr>
      <w:r w:rsidRPr="008071B9">
        <w:rPr>
          <w:rFonts w:ascii="宋体" w:eastAsia="宋体" w:hAnsi="宋体" w:hint="eastAsia"/>
          <w:kern w:val="0"/>
          <w:sz w:val="24"/>
        </w:rPr>
        <w:t>对采用成本模式进行后续计量的投资性房地产、固定资产、在建工程（存货、按公允价值模式计量的投资性房地产、递延所得税资产、金融资产除外）的资产减值，按以下方法确定：</w:t>
      </w:r>
    </w:p>
    <w:p w:rsidR="000C39A3" w:rsidRDefault="000C39A3">
      <w:pPr>
        <w:pStyle w:val="a4"/>
        <w:spacing w:before="120" w:beforeAutospacing="0" w:after="0" w:afterAutospacing="0" w:line="360" w:lineRule="auto"/>
        <w:ind w:firstLine="480"/>
        <w:jc w:val="both"/>
        <w:divId w:val="1411196487"/>
        <w:rPr>
          <w:rFonts w:ascii="Times New Roman" w:hAnsi="Times New Roman" w:cs="Times New Roman"/>
          <w:sz w:val="21"/>
          <w:szCs w:val="21"/>
        </w:rPr>
      </w:pPr>
      <w:r>
        <w:rPr>
          <w:rFonts w:cs="Times New Roman" w:hint="eastAsia"/>
        </w:rPr>
        <w:t>于资产负债表日判断资产是否存在可能发生减值的迹象，存在减值迹象的，本公司将估计其可收回金额，进行减值测试。对因企业合并所形成的商誉、使用寿命不确定的无形资产和尚未达到可使用状态的无形资产无论是否存在减值迹象，每年都进行减值测试。</w:t>
      </w:r>
    </w:p>
    <w:p w:rsidR="000C39A3" w:rsidRDefault="000C39A3">
      <w:pPr>
        <w:pStyle w:val="a4"/>
        <w:spacing w:before="120" w:beforeAutospacing="0" w:after="0" w:afterAutospacing="0" w:line="360" w:lineRule="auto"/>
        <w:ind w:firstLine="480"/>
        <w:jc w:val="both"/>
        <w:divId w:val="1411196487"/>
        <w:rPr>
          <w:rFonts w:ascii="Times New Roman" w:hAnsi="Times New Roman" w:cs="Times New Roman"/>
          <w:sz w:val="21"/>
          <w:szCs w:val="21"/>
        </w:rPr>
      </w:pPr>
      <w:r>
        <w:rPr>
          <w:rFonts w:cs="Times New Roman" w:hint="eastAsia"/>
        </w:rPr>
        <w:t>可收回金额根据资产的公允价值减去处置费用后的净额与资产预计未来现金流量的现值两者之间较高者确定。本公司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0C39A3" w:rsidRDefault="000C39A3">
      <w:pPr>
        <w:pStyle w:val="a4"/>
        <w:spacing w:before="120" w:beforeAutospacing="0" w:after="0" w:afterAutospacing="0" w:line="360" w:lineRule="auto"/>
        <w:ind w:firstLine="480"/>
        <w:jc w:val="both"/>
        <w:divId w:val="1411196487"/>
        <w:rPr>
          <w:rFonts w:ascii="Times New Roman" w:hAnsi="Times New Roman" w:cs="Times New Roman"/>
          <w:sz w:val="21"/>
          <w:szCs w:val="21"/>
        </w:rPr>
      </w:pPr>
      <w:r>
        <w:rPr>
          <w:rFonts w:cs="Times New Roman" w:hint="eastAsia"/>
        </w:rPr>
        <w:t>当资产或资产组的可收回金额低于其账面价值时，本公司将其账面价值减记至可收回金额，减记的金额计入当期损益，同时计提相应的资产减值准备。</w:t>
      </w:r>
    </w:p>
    <w:p w:rsidR="000C39A3" w:rsidRDefault="000C39A3">
      <w:pPr>
        <w:pStyle w:val="a4"/>
        <w:spacing w:before="120" w:beforeAutospacing="0" w:after="0" w:afterAutospacing="0" w:line="360" w:lineRule="auto"/>
        <w:ind w:firstLine="480"/>
        <w:jc w:val="both"/>
        <w:divId w:val="1411196487"/>
        <w:rPr>
          <w:rFonts w:ascii="Times New Roman" w:hAnsi="Times New Roman" w:cs="Times New Roman"/>
          <w:sz w:val="21"/>
          <w:szCs w:val="21"/>
        </w:rPr>
      </w:pPr>
      <w:r>
        <w:rPr>
          <w:rFonts w:cs="Times New Roman" w:hint="eastAsia"/>
        </w:rPr>
        <w:t>资产减值损失一经确认，在以后会计期间不再转回。</w:t>
      </w:r>
    </w:p>
    <w:p w:rsidR="0080594E" w:rsidRDefault="000C39A3">
      <w:pPr>
        <w:pStyle w:val="3"/>
        <w:spacing w:line="280" w:lineRule="exact"/>
        <w:jc w:val="left"/>
        <w:rPr>
          <w:rFonts w:ascii="宋体" w:hAnsi="宋体" w:cs="宋体"/>
          <w:b/>
          <w:bCs/>
        </w:rPr>
      </w:pPr>
      <w:bookmarkStart w:id="181" w:name="_Toc989071"/>
      <w:r>
        <w:rPr>
          <w:rFonts w:ascii="宋体" w:hAnsi="宋体" w:cs="宋体"/>
          <w:b/>
          <w:bCs/>
        </w:rPr>
        <w:lastRenderedPageBreak/>
        <w:t>21、长期待摊费用</w:t>
      </w:r>
      <w:bookmarkEnd w:id="181"/>
    </w:p>
    <w:p w:rsidR="000C39A3" w:rsidRDefault="000C39A3">
      <w:pPr>
        <w:pStyle w:val="a4"/>
        <w:spacing w:before="120" w:beforeAutospacing="0" w:after="0" w:afterAutospacing="0" w:line="360" w:lineRule="auto"/>
        <w:ind w:firstLine="480"/>
        <w:jc w:val="both"/>
        <w:divId w:val="299237500"/>
        <w:rPr>
          <w:rFonts w:ascii="Times New Roman" w:hAnsi="Times New Roman" w:cs="Times New Roman"/>
          <w:sz w:val="21"/>
          <w:szCs w:val="21"/>
        </w:rPr>
      </w:pPr>
      <w:r>
        <w:rPr>
          <w:rFonts w:cs="Times New Roman" w:hint="eastAsia"/>
        </w:rPr>
        <w:t>长期待摊费用核算本公司已经发生但应由本期和以后各期负担的分摊期限在一年以上的各项费用。</w:t>
      </w:r>
    </w:p>
    <w:p w:rsidR="000C39A3" w:rsidRDefault="000C39A3">
      <w:pPr>
        <w:pStyle w:val="a4"/>
        <w:spacing w:before="120" w:beforeAutospacing="0" w:after="0" w:afterAutospacing="0" w:line="360" w:lineRule="auto"/>
        <w:ind w:firstLine="480"/>
        <w:jc w:val="both"/>
        <w:divId w:val="299237500"/>
        <w:rPr>
          <w:rFonts w:ascii="Times New Roman" w:hAnsi="Times New Roman" w:cs="Times New Roman"/>
          <w:sz w:val="21"/>
          <w:szCs w:val="21"/>
        </w:rPr>
      </w:pPr>
      <w:r>
        <w:rPr>
          <w:rFonts w:cs="Times New Roman" w:hint="eastAsia"/>
        </w:rPr>
        <w:t>本公司长期待摊费用在受益期内平均摊销，各项费用摊销的年限如下：</w:t>
      </w:r>
    </w:p>
    <w:tbl>
      <w:tblPr>
        <w:tblW w:w="8844" w:type="dxa"/>
        <w:jc w:val="center"/>
        <w:tblCellMar>
          <w:left w:w="0" w:type="dxa"/>
          <w:right w:w="0" w:type="dxa"/>
        </w:tblCellMar>
        <w:tblLook w:val="04A0" w:firstRow="1" w:lastRow="0" w:firstColumn="1" w:lastColumn="0" w:noHBand="0" w:noVBand="1"/>
      </w:tblPr>
      <w:tblGrid>
        <w:gridCol w:w="4479"/>
        <w:gridCol w:w="4365"/>
      </w:tblGrid>
      <w:tr w:rsidR="000C39A3">
        <w:trPr>
          <w:divId w:val="299237500"/>
          <w:trHeight w:val="369"/>
          <w:tblHeader/>
          <w:jc w:val="center"/>
        </w:trPr>
        <w:tc>
          <w:tcPr>
            <w:tcW w:w="2532" w:type="pct"/>
            <w:tcBorders>
              <w:top w:val="single" w:sz="8" w:space="0" w:color="auto"/>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项</w:t>
            </w:r>
            <w:r>
              <w:rPr>
                <w:rFonts w:ascii="Times New Roman" w:hAnsi="Times New Roman" w:cs="Times New Roman"/>
                <w:sz w:val="21"/>
                <w:szCs w:val="21"/>
              </w:rPr>
              <w:t xml:space="preserve">  </w:t>
            </w:r>
            <w:r>
              <w:rPr>
                <w:rFonts w:cs="Times New Roman" w:hint="eastAsia"/>
                <w:sz w:val="21"/>
                <w:szCs w:val="21"/>
              </w:rPr>
              <w:t>目</w:t>
            </w:r>
          </w:p>
        </w:tc>
        <w:tc>
          <w:tcPr>
            <w:tcW w:w="2468"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摊销年限</w:t>
            </w:r>
          </w:p>
        </w:tc>
      </w:tr>
      <w:tr w:rsidR="000C39A3">
        <w:trPr>
          <w:divId w:val="299237500"/>
          <w:trHeight w:val="369"/>
          <w:jc w:val="center"/>
        </w:trPr>
        <w:tc>
          <w:tcPr>
            <w:tcW w:w="2532"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厂区装修改造费用</w:t>
            </w:r>
          </w:p>
        </w:tc>
        <w:tc>
          <w:tcPr>
            <w:tcW w:w="2468"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line="360" w:lineRule="atLeast"/>
              <w:jc w:val="center"/>
              <w:rPr>
                <w:rFonts w:ascii="Times New Roman" w:hAnsi="Times New Roman" w:cs="Times New Roman"/>
                <w:sz w:val="21"/>
                <w:szCs w:val="21"/>
              </w:rPr>
            </w:pPr>
            <w:r>
              <w:rPr>
                <w:rFonts w:cs="Times New Roman" w:hint="eastAsia"/>
                <w:sz w:val="21"/>
                <w:szCs w:val="21"/>
              </w:rPr>
              <w:t>受益期内平均摊销</w:t>
            </w:r>
          </w:p>
        </w:tc>
      </w:tr>
    </w:tbl>
    <w:p w:rsidR="000C39A3" w:rsidRDefault="000C39A3">
      <w:pPr>
        <w:divId w:val="299237500"/>
      </w:pPr>
    </w:p>
    <w:p w:rsidR="0080594E" w:rsidRDefault="000C39A3">
      <w:pPr>
        <w:pStyle w:val="3"/>
        <w:spacing w:line="280" w:lineRule="exact"/>
        <w:jc w:val="left"/>
        <w:rPr>
          <w:rFonts w:ascii="宋体" w:hAnsi="宋体" w:cs="宋体"/>
          <w:b/>
          <w:bCs/>
        </w:rPr>
      </w:pPr>
      <w:bookmarkStart w:id="182" w:name="_Toc989072"/>
      <w:r>
        <w:rPr>
          <w:rFonts w:ascii="宋体" w:hAnsi="宋体" w:cs="宋体"/>
          <w:b/>
          <w:bCs/>
        </w:rPr>
        <w:t>22、合同负债</w:t>
      </w:r>
      <w:bookmarkEnd w:id="182"/>
    </w:p>
    <w:p w:rsidR="000C39A3" w:rsidRDefault="000C39A3">
      <w:pPr>
        <w:pStyle w:val="a4"/>
        <w:spacing w:before="0" w:beforeAutospacing="0" w:after="0" w:afterAutospacing="0" w:line="360" w:lineRule="auto"/>
        <w:ind w:firstLine="480"/>
        <w:jc w:val="both"/>
        <w:divId w:val="317347176"/>
        <w:rPr>
          <w:rFonts w:ascii="Times New Roman" w:hAnsi="Times New Roman" w:cs="Times New Roman"/>
          <w:sz w:val="18"/>
          <w:szCs w:val="18"/>
        </w:rPr>
      </w:pPr>
      <w:r>
        <w:rPr>
          <w:rFonts w:cs="Times New Roman" w:hint="eastAsia"/>
        </w:rPr>
        <w:t>本公司根据履行履约义务与客户付款之间的关系在资产负债表中列示合同资产或合同负债。本公司已收或应收客户对价而应向客户转让商品或提供服务的义务列示为合同负债。</w:t>
      </w:r>
    </w:p>
    <w:p w:rsidR="000C39A3" w:rsidRPr="008071B9" w:rsidRDefault="000C39A3" w:rsidP="008071B9">
      <w:pPr>
        <w:pStyle w:val="a4"/>
        <w:spacing w:before="0" w:beforeAutospacing="0" w:after="0" w:afterAutospacing="0" w:line="360" w:lineRule="auto"/>
        <w:ind w:firstLine="480"/>
        <w:jc w:val="both"/>
        <w:divId w:val="317347176"/>
        <w:rPr>
          <w:rFonts w:cs="Times New Roman"/>
        </w:rPr>
      </w:pPr>
      <w:r w:rsidRPr="00BA2C23">
        <w:rPr>
          <w:rFonts w:cs="Times New Roman" w:hint="eastAsia"/>
        </w:rPr>
        <w:t>不同合同下的合同资产和合同负债不能相互抵销。</w:t>
      </w:r>
    </w:p>
    <w:p w:rsidR="0080594E" w:rsidRDefault="000C39A3">
      <w:pPr>
        <w:pStyle w:val="3"/>
        <w:spacing w:line="280" w:lineRule="exact"/>
        <w:jc w:val="left"/>
        <w:rPr>
          <w:rFonts w:ascii="宋体" w:hAnsi="宋体" w:cs="宋体"/>
          <w:b/>
          <w:bCs/>
        </w:rPr>
      </w:pPr>
      <w:bookmarkStart w:id="183" w:name="_Toc989073"/>
      <w:r>
        <w:rPr>
          <w:rFonts w:ascii="宋体" w:hAnsi="宋体" w:cs="宋体"/>
          <w:b/>
          <w:bCs/>
        </w:rPr>
        <w:t>23、职工薪酬</w:t>
      </w:r>
      <w:bookmarkEnd w:id="183"/>
    </w:p>
    <w:p w:rsidR="00BA2C23" w:rsidRPr="00BA2C23" w:rsidRDefault="00BA2C23" w:rsidP="008071B9">
      <w:pPr>
        <w:pStyle w:val="a4"/>
        <w:spacing w:before="120" w:beforeAutospacing="0" w:after="0" w:afterAutospacing="0" w:line="360" w:lineRule="auto"/>
        <w:ind w:firstLine="480"/>
        <w:jc w:val="both"/>
        <w:rPr>
          <w:rFonts w:cs="Times New Roman"/>
        </w:rPr>
      </w:pPr>
      <w:r w:rsidRPr="00BA2C23">
        <w:rPr>
          <w:rFonts w:cs="Times New Roman"/>
        </w:rPr>
        <w:t>职工薪酬，是指本公司为获得职工提供的服务或解除劳动关系而给予的各种形式的报酬或补偿。职工薪酬包括短期薪酬、离职后福利、辞退福利和其他长期职工福利。本公司提供给职工配偶、子女、受赡养人、已故员工遗属及其他受益人等的福利，也属于职工薪酬。</w:t>
      </w:r>
    </w:p>
    <w:p w:rsidR="00BA2C23" w:rsidRPr="008071B9" w:rsidRDefault="00BA2C23" w:rsidP="008071B9">
      <w:pPr>
        <w:pStyle w:val="a4"/>
        <w:spacing w:before="120" w:beforeAutospacing="0" w:after="0" w:afterAutospacing="0" w:line="360" w:lineRule="auto"/>
        <w:ind w:firstLine="480"/>
        <w:jc w:val="both"/>
        <w:rPr>
          <w:rFonts w:cs="Times New Roman"/>
        </w:rPr>
      </w:pPr>
      <w:r w:rsidRPr="00BA2C23">
        <w:rPr>
          <w:rFonts w:cs="Times New Roman" w:hint="eastAsia"/>
        </w:rPr>
        <w:t>根据流动性，职工薪酬分别列示于资产负债表的“应付职工薪酬”项目和“长期应付职工薪酬”项目。</w:t>
      </w:r>
    </w:p>
    <w:p w:rsidR="0080594E" w:rsidRDefault="000C39A3">
      <w:pPr>
        <w:keepNext/>
        <w:keepLines/>
        <w:spacing w:before="300" w:after="300" w:line="280" w:lineRule="exact"/>
        <w:outlineLvl w:val="3"/>
        <w:rPr>
          <w:rFonts w:ascii="宋体" w:eastAsia="宋体" w:hAnsi="宋体" w:cs="宋体"/>
          <w:b/>
          <w:bCs/>
          <w:szCs w:val="21"/>
        </w:rPr>
      </w:pPr>
      <w:bookmarkStart w:id="184" w:name="_Toc989074"/>
      <w:r>
        <w:rPr>
          <w:rFonts w:ascii="宋体" w:eastAsia="宋体" w:hAnsi="宋体" w:cs="宋体"/>
          <w:b/>
          <w:bCs/>
          <w:szCs w:val="21"/>
        </w:rPr>
        <w:t>（1） 短期薪酬的会计处理方法</w:t>
      </w:r>
      <w:bookmarkEnd w:id="184"/>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t>①职工基本薪酬（工资、奖金、津贴、补贴）</w:t>
      </w:r>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t>本公司在职工为其提供服务的会计期间，将实际发生的短期薪酬确认为负债，并计入当期损益，其他会计准则要求或允许计入资产成本的除外。</w:t>
      </w:r>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t>②职工福利费</w:t>
      </w:r>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t>本公司发生的职工福利费，在实际发生时根据实际发生额计入当期损益或相关资产成本。职工福利费为非货币性福利的，按照公允价值计量。</w:t>
      </w:r>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lastRenderedPageBreak/>
        <w:t>③医疗保险费、工伤保险费、生育保险费等社会保险费和住房公积金，以及工会经费和职工教育经费</w:t>
      </w:r>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t>本公司为职工缴纳的医疗保险费、工伤保险费、生育保险费等社会保险费和住房公积金，以及按规定提取的工会经费和职工教育经费，在职工为其提供服务的会计期间，根据规定的计提基础和计提比例计算确定相应的职工薪酬金额，并确认相应负债，计入当期损益或相关资产成本。</w:t>
      </w:r>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t>④短期带薪缺勤</w:t>
      </w:r>
    </w:p>
    <w:p w:rsidR="000C39A3" w:rsidRDefault="000C39A3">
      <w:pPr>
        <w:pStyle w:val="a4"/>
        <w:spacing w:before="120" w:beforeAutospacing="0" w:after="0" w:afterAutospacing="0" w:line="360" w:lineRule="auto"/>
        <w:ind w:firstLine="480"/>
        <w:jc w:val="both"/>
        <w:divId w:val="372197762"/>
        <w:rPr>
          <w:rFonts w:ascii="Times New Roman" w:hAnsi="Times New Roman" w:cs="Times New Roman"/>
          <w:sz w:val="21"/>
          <w:szCs w:val="21"/>
        </w:rPr>
      </w:pPr>
      <w:r>
        <w:rPr>
          <w:rFonts w:cs="Times New Roman" w:hint="eastAsia"/>
        </w:rPr>
        <w:t>本公司在职工提供服务从而增加了其未来享有的带薪缺勤权利时，确认与累积带薪缺勤相关的职工薪酬，并以累积未行使权利而增加的预期支付金额计量。本公司在职工实际发生缺勤的会计期间确认与非累积带薪缺勤相关的职工薪酬。</w:t>
      </w:r>
    </w:p>
    <w:p w:rsidR="0080594E" w:rsidRDefault="000C39A3">
      <w:pPr>
        <w:keepNext/>
        <w:keepLines/>
        <w:spacing w:before="300" w:after="300" w:line="280" w:lineRule="exact"/>
        <w:outlineLvl w:val="3"/>
        <w:rPr>
          <w:rFonts w:ascii="宋体" w:eastAsia="宋体" w:hAnsi="宋体" w:cs="宋体"/>
          <w:b/>
          <w:bCs/>
          <w:szCs w:val="21"/>
        </w:rPr>
      </w:pPr>
      <w:bookmarkStart w:id="185" w:name="_Toc989075"/>
      <w:r>
        <w:rPr>
          <w:rFonts w:ascii="宋体" w:eastAsia="宋体" w:hAnsi="宋体" w:cs="宋体"/>
          <w:b/>
          <w:bCs/>
          <w:szCs w:val="21"/>
        </w:rPr>
        <w:t>（2） 离职后福利的会计处理方法</w:t>
      </w:r>
      <w:bookmarkEnd w:id="185"/>
    </w:p>
    <w:p w:rsidR="000C39A3" w:rsidRDefault="000C39A3">
      <w:pPr>
        <w:pStyle w:val="a4"/>
        <w:spacing w:before="120" w:beforeAutospacing="0" w:after="0" w:afterAutospacing="0" w:line="360" w:lineRule="auto"/>
        <w:ind w:firstLine="480"/>
        <w:jc w:val="both"/>
        <w:divId w:val="608775005"/>
        <w:rPr>
          <w:rFonts w:ascii="Times New Roman" w:hAnsi="Times New Roman" w:cs="Times New Roman"/>
          <w:sz w:val="21"/>
          <w:szCs w:val="21"/>
        </w:rPr>
      </w:pPr>
      <w:r>
        <w:rPr>
          <w:rFonts w:cs="Times New Roman" w:hint="eastAsia"/>
        </w:rPr>
        <w:t>①设定提存计划</w:t>
      </w:r>
    </w:p>
    <w:p w:rsidR="000C39A3" w:rsidRDefault="000C39A3">
      <w:pPr>
        <w:pStyle w:val="a4"/>
        <w:spacing w:before="120" w:beforeAutospacing="0" w:after="0" w:afterAutospacing="0" w:line="360" w:lineRule="auto"/>
        <w:ind w:firstLine="480"/>
        <w:jc w:val="both"/>
        <w:divId w:val="608775005"/>
        <w:rPr>
          <w:rFonts w:ascii="Times New Roman" w:hAnsi="Times New Roman" w:cs="Times New Roman"/>
          <w:sz w:val="21"/>
          <w:szCs w:val="21"/>
        </w:rPr>
      </w:pPr>
      <w:r>
        <w:rPr>
          <w:rFonts w:cs="Times New Roman" w:hint="eastAsia"/>
        </w:rPr>
        <w:t>本公司在职工为其提供服务的会计期间，将根据设定提存计划计算的应缴存金额确认为负债，并计入当期损益或相关资产成本。</w:t>
      </w:r>
    </w:p>
    <w:p w:rsidR="000C39A3" w:rsidRDefault="000C39A3">
      <w:pPr>
        <w:pStyle w:val="a4"/>
        <w:spacing w:before="120" w:beforeAutospacing="0" w:after="0" w:afterAutospacing="0" w:line="360" w:lineRule="auto"/>
        <w:ind w:firstLine="480"/>
        <w:jc w:val="both"/>
        <w:divId w:val="608775005"/>
        <w:rPr>
          <w:rFonts w:ascii="Times New Roman" w:hAnsi="Times New Roman" w:cs="Times New Roman"/>
          <w:sz w:val="21"/>
          <w:szCs w:val="21"/>
        </w:rPr>
      </w:pPr>
      <w:r>
        <w:rPr>
          <w:rFonts w:cs="Times New Roman" w:hint="eastAsia"/>
        </w:rPr>
        <w:t>根据设定提存计划，预期不会在职工提供相关服务的年度报告期结束后十二个月内支付全部应缴存金额的，本公司参照相应的折现率（根据资产负债表日与设定提存计划义务期限和币种相匹配的国债或活跃市场上的高质量公司债券的市场收益率确定），将全部应缴存金额以折现后的金额计量应付职工薪酬。</w:t>
      </w:r>
    </w:p>
    <w:p w:rsidR="0080594E" w:rsidRDefault="000C39A3">
      <w:pPr>
        <w:keepNext/>
        <w:keepLines/>
        <w:spacing w:before="300" w:after="300" w:line="280" w:lineRule="exact"/>
        <w:outlineLvl w:val="3"/>
        <w:rPr>
          <w:rFonts w:ascii="宋体" w:eastAsia="宋体" w:hAnsi="宋体" w:cs="宋体"/>
          <w:b/>
          <w:bCs/>
          <w:szCs w:val="21"/>
        </w:rPr>
      </w:pPr>
      <w:bookmarkStart w:id="186" w:name="_Toc989076"/>
      <w:r>
        <w:rPr>
          <w:rFonts w:ascii="宋体" w:eastAsia="宋体" w:hAnsi="宋体" w:cs="宋体"/>
          <w:b/>
          <w:bCs/>
          <w:szCs w:val="21"/>
        </w:rPr>
        <w:t>（3） 辞退福利的会计处理方法</w:t>
      </w:r>
      <w:bookmarkEnd w:id="186"/>
    </w:p>
    <w:p w:rsidR="000C39A3" w:rsidRDefault="000C39A3">
      <w:pPr>
        <w:pStyle w:val="a4"/>
        <w:spacing w:before="120" w:beforeAutospacing="0" w:after="0" w:afterAutospacing="0" w:line="360" w:lineRule="auto"/>
        <w:ind w:firstLine="480"/>
        <w:jc w:val="both"/>
        <w:divId w:val="661392133"/>
        <w:rPr>
          <w:rFonts w:ascii="Times New Roman" w:hAnsi="Times New Roman" w:cs="Times New Roman"/>
          <w:sz w:val="21"/>
          <w:szCs w:val="21"/>
        </w:rPr>
      </w:pPr>
      <w:r>
        <w:rPr>
          <w:rFonts w:cs="Times New Roman" w:hint="eastAsia"/>
        </w:rPr>
        <w:t>本公司向职工提供辞退福利的，在下列两者孰早日确认辞退福利产生的职工薪酬负债，并计入当期损益：</w:t>
      </w:r>
    </w:p>
    <w:p w:rsidR="000C39A3" w:rsidRDefault="000C39A3">
      <w:pPr>
        <w:pStyle w:val="a4"/>
        <w:spacing w:before="120" w:beforeAutospacing="0" w:after="0" w:afterAutospacing="0" w:line="360" w:lineRule="auto"/>
        <w:ind w:firstLine="480"/>
        <w:jc w:val="both"/>
        <w:divId w:val="661392133"/>
        <w:rPr>
          <w:rFonts w:ascii="Times New Roman" w:hAnsi="Times New Roman" w:cs="Times New Roman"/>
          <w:sz w:val="21"/>
          <w:szCs w:val="21"/>
        </w:rPr>
      </w:pPr>
      <w:r>
        <w:rPr>
          <w:rFonts w:cs="Times New Roman" w:hint="eastAsia"/>
        </w:rPr>
        <w:t>①企业不能单方面撤回因解除劳动关系计划或裁减建议所提供的辞退福利时；</w:t>
      </w:r>
    </w:p>
    <w:p w:rsidR="000C39A3" w:rsidRDefault="000C39A3">
      <w:pPr>
        <w:pStyle w:val="a4"/>
        <w:spacing w:before="120" w:beforeAutospacing="0" w:after="0" w:afterAutospacing="0" w:line="360" w:lineRule="auto"/>
        <w:ind w:firstLine="480"/>
        <w:jc w:val="both"/>
        <w:divId w:val="661392133"/>
        <w:rPr>
          <w:rFonts w:ascii="Times New Roman" w:hAnsi="Times New Roman" w:cs="Times New Roman"/>
          <w:sz w:val="21"/>
          <w:szCs w:val="21"/>
        </w:rPr>
      </w:pPr>
      <w:r>
        <w:rPr>
          <w:rFonts w:cs="Times New Roman" w:hint="eastAsia"/>
        </w:rPr>
        <w:t>②企业确认与涉及支付辞退福利的重组相关的成本或费用时。</w:t>
      </w:r>
    </w:p>
    <w:p w:rsidR="000C39A3" w:rsidRDefault="000C39A3">
      <w:pPr>
        <w:pStyle w:val="a4"/>
        <w:spacing w:before="120" w:beforeAutospacing="0" w:after="0" w:afterAutospacing="0" w:line="360" w:lineRule="auto"/>
        <w:ind w:firstLine="480"/>
        <w:jc w:val="both"/>
        <w:divId w:val="661392133"/>
        <w:rPr>
          <w:rFonts w:ascii="Times New Roman" w:hAnsi="Times New Roman" w:cs="Times New Roman"/>
          <w:sz w:val="21"/>
          <w:szCs w:val="21"/>
        </w:rPr>
      </w:pPr>
      <w:r>
        <w:rPr>
          <w:rFonts w:cs="Times New Roman" w:hint="eastAsia"/>
        </w:rPr>
        <w:t>辞退福利预期在年度报告期结束后十二个月内不能完全支付的，参照相应的折现率（根据资产负债表日与设定受益计划义务期限和币种相匹配的国债或活跃市场上的高质量</w:t>
      </w:r>
      <w:r>
        <w:rPr>
          <w:rFonts w:cs="Times New Roman" w:hint="eastAsia"/>
        </w:rPr>
        <w:lastRenderedPageBreak/>
        <w:t>公司债券的市场收益率确定）将辞退福利金额予以折现，以折现后的金额计量应付职工薪酬。</w:t>
      </w:r>
    </w:p>
    <w:p w:rsidR="0080594E" w:rsidRDefault="000C39A3">
      <w:pPr>
        <w:keepNext/>
        <w:keepLines/>
        <w:spacing w:before="300" w:after="300" w:line="280" w:lineRule="exact"/>
        <w:outlineLvl w:val="3"/>
        <w:rPr>
          <w:rFonts w:ascii="宋体" w:eastAsia="宋体" w:hAnsi="宋体" w:cs="宋体"/>
          <w:b/>
          <w:bCs/>
          <w:szCs w:val="21"/>
        </w:rPr>
      </w:pPr>
      <w:bookmarkStart w:id="187" w:name="_Toc989077"/>
      <w:r>
        <w:rPr>
          <w:rFonts w:ascii="宋体" w:eastAsia="宋体" w:hAnsi="宋体" w:cs="宋体"/>
          <w:b/>
          <w:bCs/>
          <w:szCs w:val="21"/>
        </w:rPr>
        <w:t>（4） 其他长期职工福利的会计处理方法</w:t>
      </w:r>
      <w:bookmarkEnd w:id="187"/>
    </w:p>
    <w:p w:rsidR="0080594E" w:rsidRDefault="00BA2C23">
      <w:r>
        <w:rPr>
          <w:rFonts w:hint="eastAsia"/>
        </w:rPr>
        <w:t>无</w:t>
      </w:r>
    </w:p>
    <w:p w:rsidR="0080594E" w:rsidRDefault="000C39A3">
      <w:pPr>
        <w:pStyle w:val="3"/>
        <w:spacing w:line="280" w:lineRule="exact"/>
        <w:jc w:val="left"/>
        <w:rPr>
          <w:rFonts w:ascii="宋体" w:hAnsi="宋体" w:cs="宋体"/>
          <w:b/>
          <w:bCs/>
        </w:rPr>
      </w:pPr>
      <w:bookmarkStart w:id="188" w:name="_Toc989078"/>
      <w:r>
        <w:rPr>
          <w:rFonts w:ascii="宋体" w:hAnsi="宋体" w:cs="宋体"/>
          <w:b/>
          <w:bCs/>
        </w:rPr>
        <w:t>24、预计负债</w:t>
      </w:r>
      <w:bookmarkEnd w:id="188"/>
    </w:p>
    <w:p w:rsidR="000C39A3" w:rsidRDefault="000C39A3">
      <w:pPr>
        <w:pStyle w:val="a4"/>
        <w:spacing w:before="120" w:beforeAutospacing="0" w:after="0" w:afterAutospacing="0" w:line="360" w:lineRule="auto"/>
        <w:ind w:firstLine="482"/>
        <w:jc w:val="both"/>
        <w:divId w:val="1539899703"/>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1</w:t>
      </w:r>
      <w:r>
        <w:rPr>
          <w:rStyle w:val="a5"/>
          <w:rFonts w:cs="Times New Roman" w:hint="eastAsia"/>
          <w:color w:val="000000"/>
        </w:rPr>
        <w:t>）预计负债的确认标准</w:t>
      </w:r>
    </w:p>
    <w:p w:rsidR="000C39A3" w:rsidRDefault="000C39A3">
      <w:pPr>
        <w:pStyle w:val="a4"/>
        <w:spacing w:before="120" w:beforeAutospacing="0" w:after="0" w:afterAutospacing="0" w:line="360" w:lineRule="auto"/>
        <w:ind w:firstLine="480"/>
        <w:jc w:val="both"/>
        <w:divId w:val="1539899703"/>
        <w:rPr>
          <w:rFonts w:ascii="Times New Roman" w:hAnsi="Times New Roman" w:cs="Times New Roman"/>
          <w:sz w:val="21"/>
          <w:szCs w:val="21"/>
        </w:rPr>
      </w:pPr>
      <w:r>
        <w:rPr>
          <w:rFonts w:cs="Times New Roman" w:hint="eastAsia"/>
          <w:color w:val="000000"/>
        </w:rPr>
        <w:t>如果与或有事项相关的义务同时符合以下条件，本公司将其确认为预计负债：</w:t>
      </w:r>
    </w:p>
    <w:p w:rsidR="000C39A3" w:rsidRDefault="000C39A3">
      <w:pPr>
        <w:pStyle w:val="a4"/>
        <w:spacing w:before="120" w:beforeAutospacing="0" w:after="0" w:afterAutospacing="0" w:line="360" w:lineRule="auto"/>
        <w:ind w:firstLine="480"/>
        <w:jc w:val="both"/>
        <w:divId w:val="1539899703"/>
        <w:rPr>
          <w:rFonts w:ascii="Times New Roman" w:hAnsi="Times New Roman" w:cs="Times New Roman"/>
          <w:sz w:val="21"/>
          <w:szCs w:val="21"/>
        </w:rPr>
      </w:pPr>
      <w:r>
        <w:rPr>
          <w:rFonts w:cs="Times New Roman" w:hint="eastAsia"/>
          <w:color w:val="000000"/>
        </w:rPr>
        <w:t>①该义务是本公司承担的现时义务；</w:t>
      </w:r>
    </w:p>
    <w:p w:rsidR="000C39A3" w:rsidRDefault="000C39A3">
      <w:pPr>
        <w:pStyle w:val="a4"/>
        <w:spacing w:before="120" w:beforeAutospacing="0" w:after="0" w:afterAutospacing="0" w:line="360" w:lineRule="auto"/>
        <w:ind w:firstLine="480"/>
        <w:jc w:val="both"/>
        <w:divId w:val="1539899703"/>
        <w:rPr>
          <w:rFonts w:ascii="Times New Roman" w:hAnsi="Times New Roman" w:cs="Times New Roman"/>
          <w:sz w:val="21"/>
          <w:szCs w:val="21"/>
        </w:rPr>
      </w:pPr>
      <w:r>
        <w:rPr>
          <w:rFonts w:cs="Times New Roman" w:hint="eastAsia"/>
          <w:color w:val="000000"/>
        </w:rPr>
        <w:t>②该义务的履行很可能导致经济利益流出本公司；</w:t>
      </w:r>
    </w:p>
    <w:p w:rsidR="000C39A3" w:rsidRDefault="000C39A3">
      <w:pPr>
        <w:pStyle w:val="a4"/>
        <w:spacing w:before="120" w:beforeAutospacing="0" w:after="0" w:afterAutospacing="0" w:line="360" w:lineRule="auto"/>
        <w:ind w:firstLine="480"/>
        <w:jc w:val="both"/>
        <w:divId w:val="1539899703"/>
        <w:rPr>
          <w:rFonts w:ascii="Times New Roman" w:hAnsi="Times New Roman" w:cs="Times New Roman"/>
          <w:sz w:val="21"/>
          <w:szCs w:val="21"/>
        </w:rPr>
      </w:pPr>
      <w:r>
        <w:rPr>
          <w:rFonts w:cs="Times New Roman" w:hint="eastAsia"/>
          <w:color w:val="000000"/>
        </w:rPr>
        <w:t>③该义务的金额能够可靠地计量。</w:t>
      </w:r>
    </w:p>
    <w:p w:rsidR="000C39A3" w:rsidRDefault="000C39A3">
      <w:pPr>
        <w:pStyle w:val="a4"/>
        <w:spacing w:before="120" w:beforeAutospacing="0" w:after="0" w:afterAutospacing="0" w:line="360" w:lineRule="auto"/>
        <w:ind w:firstLine="482"/>
        <w:jc w:val="both"/>
        <w:divId w:val="1539899703"/>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2</w:t>
      </w:r>
      <w:r>
        <w:rPr>
          <w:rStyle w:val="a5"/>
          <w:rFonts w:cs="Times New Roman" w:hint="eastAsia"/>
          <w:color w:val="000000"/>
        </w:rPr>
        <w:t>）预计负债的计量方法</w:t>
      </w:r>
    </w:p>
    <w:p w:rsidR="000C39A3" w:rsidRDefault="000C39A3">
      <w:pPr>
        <w:pStyle w:val="a4"/>
        <w:spacing w:before="120" w:beforeAutospacing="0" w:after="0" w:afterAutospacing="0" w:line="360" w:lineRule="auto"/>
        <w:ind w:firstLine="480"/>
        <w:jc w:val="both"/>
        <w:divId w:val="1539899703"/>
        <w:rPr>
          <w:rFonts w:ascii="Times New Roman" w:hAnsi="Times New Roman" w:cs="Times New Roman"/>
          <w:sz w:val="21"/>
          <w:szCs w:val="21"/>
        </w:rPr>
      </w:pPr>
      <w:r>
        <w:rPr>
          <w:rFonts w:cs="Times New Roman" w:hint="eastAsia"/>
          <w:color w:val="000000"/>
        </w:rPr>
        <w:t>预计负债按照履行相关现时义务所需支出的最佳估计数进行初始计量，并综合考虑与或有事项有关的风险、不确定性和货币时间价值等因素。每个资产负债表日对预计负债的账面价值进行复核。有确凿证据表明该账面价值不能反映当前最佳估计数的，按照当前最佳估计数对该账面价值进行调整。</w:t>
      </w:r>
    </w:p>
    <w:p w:rsidR="0080594E" w:rsidRDefault="000C39A3">
      <w:pPr>
        <w:pStyle w:val="3"/>
        <w:spacing w:line="280" w:lineRule="exact"/>
        <w:jc w:val="left"/>
        <w:rPr>
          <w:rFonts w:ascii="宋体" w:hAnsi="宋体" w:cs="宋体"/>
          <w:b/>
          <w:bCs/>
        </w:rPr>
      </w:pPr>
      <w:bookmarkStart w:id="189" w:name="_Toc989079"/>
      <w:r>
        <w:rPr>
          <w:rFonts w:ascii="宋体" w:hAnsi="宋体" w:cs="宋体"/>
          <w:b/>
          <w:bCs/>
        </w:rPr>
        <w:t>25、收入</w:t>
      </w:r>
      <w:bookmarkEnd w:id="189"/>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收入确认和计量所采用的会计政策</w:t>
      </w:r>
    </w:p>
    <w:p w:rsidR="000C39A3" w:rsidRDefault="000C39A3">
      <w:pPr>
        <w:pStyle w:val="a4"/>
        <w:spacing w:before="120" w:beforeAutospacing="0" w:after="0" w:afterAutospacing="0" w:line="360" w:lineRule="auto"/>
        <w:ind w:firstLine="482"/>
        <w:jc w:val="both"/>
        <w:divId w:val="342244369"/>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）一般原则</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收入是本公司在日常活动中形成的、会导致股东权益增加且与股东投入资本无关的经济利益的总流入。</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本公司在履行了合同中的履约义务，即在客户取得相关商品控制权时确认收入。取得相关商品控制权，是指能够主导该商品的使用并从中获得几乎全部的经济利益。</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合同中包含两项或多项履约义务的，本公司在合同开始日，按照各单项履约义务所承诺商品或服务的单独售价的相对比例，将交易价格分摊至各单项履约义务，按照分摊至各单项履约义务的交易价格计量收入。</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lastRenderedPageBreak/>
        <w:t>交易价格是本公司因向客户转让商品或服务而预期有权收取的对价金额，不包括代第三方收取的款项。在确定合同交易价格时，如果存在可变对价，本公司按照期望值或最可能发生金额确定可变对价的最佳估计数，并以不超过在相关不确定性消除时累计已确认收入极可能不会发生重大转回的金额计入交易价格。合同中如果存在重大融资成分，本公司将根据客户在取得商品控制权时即以现金支付的应付金额确定交易价格，该交易价格与合同对价之间的差额，在合同期间内采用实际利率法摊销，对于控制权转移与客户支付价款间隔未超过一年的，本公司不考虑其中的融资成分。</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满足下列条件之一的，属于在某一时段内履行履约义务；否则，属于在某一时点履行履约义务：</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①客户在本公司履约的同时即取得并消耗本公司履约所带来的经济利益；</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②客户能够控制本公司履约过程中在建的商品；</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③本公司履约过程中所产出的商品具有不可替代用途，且本公司在整个合同期间内有权就累计至今已完成的履约部分收取款项。</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对于在某一时段内履行的履约义务，本公司在该段时间内按照履约进度确认收入，但是，履约进度不能合理确定的除外。本公司按照投入法（或产出法）确定提供服务的履约进度。当履约进度不能合理确定时，本公司已经发生的成本预计能够得到补偿的，按照已经发生的成本金额确认收入，直到履约进度能够合理确定为止。</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对于在某一时点履行的履约义务，本公司在客户取得相关商品控制权时点确认收入。在判断客户是否已取得商品或服务控制权时，本公司会考虑下列迹象：</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①本公司就该商品或服务享有现时收款权利，即客户就该商品负有现时付款义务；</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②本公司已将该商品的法定所有权转移给客户，即客户已拥有了该商品的法定所有权；</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③本公司已将该商品的实物转移给客户，即客户已实物占有该商品；</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④本公司已将该商品所有权上的主要风险和报酬转移给客户，即客户已取得该商品所有权上的主要风险和报酬；</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⑤客户已接受该商品。</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销售退回条款</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lastRenderedPageBreak/>
        <w:t>对于附有销售退回条款的销售，公司在客户取得相关商品控制权时，按照因向客户转让商品而与其有权取得的对价金额确认收入，按照预期因销售退回将退还的金额确认为预计负债；同时，按照预期将退回商品转让时的账面价值，扣除收回该商品预计发生的成本（包括退回商品的价值减损）后的余额，确认为一项资产，即应收退货成本，按照所转让商品转让时的账面价值，扣除上述资产成本的净额结转成本。每一资产负债表日，公司重新估计未来销售退回情况，并对上述资产和负债进行重新计量。</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质保义务</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根据合同约定、法律规定等，本公司为所销售的商品、所建造的工程等提供质量保证。对于为向客户保证所销售的商品符合既定标准的保证类质量保证，本公司按照《企业会计准则第</w:t>
      </w:r>
      <w:r>
        <w:rPr>
          <w:rFonts w:ascii="Times New Roman" w:hAnsi="Times New Roman" w:cs="Times New Roman"/>
        </w:rPr>
        <w:t xml:space="preserve"> 13</w:t>
      </w:r>
      <w:r>
        <w:rPr>
          <w:rFonts w:cs="Times New Roman" w:hint="eastAsia"/>
        </w:rPr>
        <w:t>号——或有事项》进行会计处理。对于为向客户保证所销售的商品符合既定标准之外提供了一项单独服务的服务类质量保证，本公司将其作为一项单项履约义务，按照提供商品和服务类质量保证的单独售价的相对比例，将部分交易价格分摊至服务类质量保证，并在客户取得服务控制权时确认收入。在评估质量保证是否在向客户保证所销售商品符合既定标准之外提供了一项单独服务时，本公司考虑该质量保证是否为法定要求、质量保证期限以及本公司承诺履行任务的性质等因素。</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主要责任人与代理人</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本公司根据在向客户转让商品或服务前是否拥有对该商品或服务的控制权，来判断从事交易时本公司的身份是主要责任人还是代理人。本公司在向客户转让商品或服务前能够控制该商品或服务的，本公司是主要责任人，按照已收或应收对价总额确认收入。否则，本公司为代理人，按照预期有权收取的佣金或手续费的金额确认收入，该金额应当按照已收或应收对价总额扣除应支付给其他相关方的价款后的净额，或者按照既定的佣金金额或比例等确定。</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应付客户对价</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合同中存在应付客户对价的，除非该对价是为了向客户取得其他可明确区分商品或服务的，本公司将该应付对价冲减交易价格，并在确认相关收入与支付（或承诺支付）客户对价二者孰晚的时点冲减当期收入。</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客户未行使的合同权利</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lastRenderedPageBreak/>
        <w:t>本公司向客户预收销售商品或服务款项的，首先将该款项确认为负债，待履行了相关履约义务时再转为收入。当本公司预收款项无需退回，且客户可能会放弃其全部或部分合同权利时，本公司预期将有权获得与客户所放弃的合同权利相关的金额的，按照客户行使合同权利的模式按比例将上述金额确认为收入；否则，本公司只有在客户要求履行剩余履约义务的可能性极低时，才将上述负债的相关余额转为收入。</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合同变更</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本公司与客户之间的建造合同发生合同变更时：</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①如果合同变更增加了可明确区分的建造服务及合同价款，且新增合同价款反映了新增建造服务单独售价的，本公司将该合同变更作为一份单独的合同进行会计处理；</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②如果合同变更不属于上述第①种情形，且在合同变更日已转让的建造服务与未转让的建造服务之间可明确区分的，本公司将其视为原合同终止，同时，将原合同未履约部分与合同变更部分合并为新合同进行会计处理；</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color w:val="000000"/>
        </w:rPr>
        <w:t>③如果合同变更不属于上述第①种情形，且在合同变更日已转让的建造服务与未转让的建造服务之间不可明确区分，本公司将该合同变更部分作为原合同的组成部分进行会计处理，由此产生的对已确认收入的影响，在合同变更日调整当期收入。</w:t>
      </w:r>
    </w:p>
    <w:p w:rsidR="000C39A3" w:rsidRDefault="000C39A3">
      <w:pPr>
        <w:pStyle w:val="a4"/>
        <w:spacing w:before="120" w:beforeAutospacing="0" w:after="0" w:afterAutospacing="0" w:line="360" w:lineRule="auto"/>
        <w:ind w:firstLine="482"/>
        <w:jc w:val="both"/>
        <w:divId w:val="342244369"/>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2</w:t>
      </w:r>
      <w:r>
        <w:rPr>
          <w:rStyle w:val="a5"/>
          <w:rFonts w:cs="Times New Roman" w:hint="eastAsia"/>
        </w:rPr>
        <w:t>）具体方法</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本公司收入确认的具体方法如下：</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本公司与客户之间的销售商品合同包含转让商品的履约义务，属于在某一时点履行履约义务。</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t>内销产品收入确认需满足以下条件：在经销模式下，本公司已根据合同约定将商品交付给客户且客户已经签收接受该商品，已经收回货款或取得了收款凭证且相关的对价很可能收回，商品所有权上的主要风险和报酬已转移，商品的法定所有权已转移。在直销模式下，本公司已根据合同约定将商品交付给客户、该商品经客户验收合格，已经收回货款或取得了收款凭证且相关的对价很可能收回，商品所有权上的主要风险和报酬已转移，商品的法定所有权已转移。</w:t>
      </w:r>
    </w:p>
    <w:p w:rsidR="000C39A3" w:rsidRDefault="000C39A3">
      <w:pPr>
        <w:pStyle w:val="a4"/>
        <w:spacing w:before="120" w:beforeAutospacing="0" w:after="0" w:afterAutospacing="0" w:line="360" w:lineRule="auto"/>
        <w:ind w:firstLine="480"/>
        <w:jc w:val="both"/>
        <w:divId w:val="342244369"/>
        <w:rPr>
          <w:rFonts w:ascii="Times New Roman" w:hAnsi="Times New Roman" w:cs="Times New Roman"/>
          <w:sz w:val="21"/>
          <w:szCs w:val="21"/>
        </w:rPr>
      </w:pPr>
      <w:r>
        <w:rPr>
          <w:rFonts w:cs="Times New Roman" w:hint="eastAsia"/>
        </w:rPr>
        <w:lastRenderedPageBreak/>
        <w:t>外销产品收入确认需满足以下条件：本公司已根据合同约定将产品报关出口，已经收回货款或取得了收款凭证且相关的对价很可能收回，商品所有权上的主要风险和报酬已转移，商品的法定所有权已转移。</w:t>
      </w:r>
    </w:p>
    <w:p w:rsidR="0080594E" w:rsidRDefault="000C39A3" w:rsidP="00252442">
      <w:pPr>
        <w:pStyle w:val="a4"/>
        <w:spacing w:before="120" w:beforeAutospacing="0" w:after="0" w:afterAutospacing="0" w:line="360" w:lineRule="auto"/>
        <w:ind w:firstLine="480"/>
        <w:jc w:val="both"/>
      </w:pPr>
      <w:r>
        <w:rPr>
          <w:rFonts w:cs="Times New Roman" w:hint="eastAsia"/>
        </w:rPr>
        <w:t>销售返利：公司根据与经销商约定的返利政策计提经销商返利，冲减当期销售收入。</w:t>
      </w:r>
    </w:p>
    <w:p w:rsidR="0080594E" w:rsidRDefault="000C39A3">
      <w:pPr>
        <w:pStyle w:val="3"/>
        <w:spacing w:line="280" w:lineRule="exact"/>
        <w:jc w:val="left"/>
        <w:rPr>
          <w:rFonts w:ascii="宋体" w:hAnsi="宋体" w:cs="宋体"/>
          <w:b/>
          <w:bCs/>
        </w:rPr>
      </w:pPr>
      <w:bookmarkStart w:id="190" w:name="_Toc989080"/>
      <w:r>
        <w:rPr>
          <w:rFonts w:ascii="宋体" w:hAnsi="宋体" w:cs="宋体"/>
          <w:b/>
          <w:bCs/>
        </w:rPr>
        <w:t>26、政府补助</w:t>
      </w:r>
      <w:bookmarkEnd w:id="190"/>
    </w:p>
    <w:p w:rsidR="000C39A3" w:rsidRDefault="000C39A3">
      <w:pPr>
        <w:pStyle w:val="a4"/>
        <w:spacing w:before="120" w:beforeAutospacing="0" w:after="0" w:afterAutospacing="0" w:line="360" w:lineRule="auto"/>
        <w:ind w:firstLine="482"/>
        <w:jc w:val="both"/>
        <w:divId w:val="1794473229"/>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1</w:t>
      </w:r>
      <w:r>
        <w:rPr>
          <w:rStyle w:val="a5"/>
          <w:rFonts w:cs="Times New Roman" w:hint="eastAsia"/>
          <w:color w:val="000000"/>
        </w:rPr>
        <w:t>）政府补助的确认</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政府补助同时满足下列条件的，才能予以确认：</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①本公司能够满足政府补助所附条件；</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②本公司能够收到政府补助。</w:t>
      </w:r>
    </w:p>
    <w:p w:rsidR="000C39A3" w:rsidRDefault="000C39A3">
      <w:pPr>
        <w:pStyle w:val="a4"/>
        <w:spacing w:before="120" w:beforeAutospacing="0" w:after="0" w:afterAutospacing="0" w:line="360" w:lineRule="auto"/>
        <w:ind w:firstLine="482"/>
        <w:jc w:val="both"/>
        <w:divId w:val="1794473229"/>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2</w:t>
      </w:r>
      <w:r>
        <w:rPr>
          <w:rStyle w:val="a5"/>
          <w:rFonts w:cs="Times New Roman" w:hint="eastAsia"/>
          <w:color w:val="000000"/>
        </w:rPr>
        <w:t>）政府补助的计量</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政府补助为货币性资产的，按照收到或应收的金额计量。政府补助为非货币性资产的，按照公允价值计量；公允价值不能可靠取得的，按照名义金额</w:t>
      </w:r>
      <w:r>
        <w:rPr>
          <w:rFonts w:ascii="Times New Roman" w:hAnsi="Times New Roman" w:cs="Times New Roman"/>
          <w:color w:val="000000"/>
        </w:rPr>
        <w:t>1</w:t>
      </w:r>
      <w:r>
        <w:rPr>
          <w:rFonts w:cs="Times New Roman" w:hint="eastAsia"/>
          <w:color w:val="000000"/>
        </w:rPr>
        <w:t>元计量。</w:t>
      </w:r>
    </w:p>
    <w:p w:rsidR="000C39A3" w:rsidRDefault="000C39A3">
      <w:pPr>
        <w:pStyle w:val="a4"/>
        <w:spacing w:before="120" w:beforeAutospacing="0" w:after="0" w:afterAutospacing="0" w:line="360" w:lineRule="auto"/>
        <w:ind w:firstLine="482"/>
        <w:jc w:val="both"/>
        <w:divId w:val="1794473229"/>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3</w:t>
      </w:r>
      <w:r>
        <w:rPr>
          <w:rStyle w:val="a5"/>
          <w:rFonts w:cs="Times New Roman" w:hint="eastAsia"/>
          <w:color w:val="000000"/>
        </w:rPr>
        <w:t>）政府补助的会计处理</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①与资产相关的政府补助</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rPr>
        <w:t>公司取得的、用于购建或以其他方式形成长期资产的政府补助划分为与资产相关的政府补助。与资产相关的政府补助确认为递延收益，在相关资产使用期限内按照合理、系统的方法分期计入损益。</w:t>
      </w:r>
      <w:r>
        <w:rPr>
          <w:rFonts w:cs="Times New Roman" w:hint="eastAsia"/>
          <w:color w:val="000000"/>
        </w:rPr>
        <w:t>按照名义金额计量的政府补助，直接计入当期损益。相关资产在使用寿命结束前被出售、转让、报废或发生毁损的，将尚未分配的相关递延收益余额转入资产处置当期的损益。</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②与收益相关的政府补助</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rPr>
        <w:t>除与资产相关的政府补助之外的政府补助划分为与收益相关的政府补助。</w:t>
      </w:r>
      <w:r>
        <w:rPr>
          <w:rFonts w:cs="Times New Roman" w:hint="eastAsia"/>
          <w:color w:val="000000"/>
        </w:rPr>
        <w:t>与收益相关的政府补助，分情况按照以下规定进行会计处理：</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用于补偿本公司以后期间的相关成本费用或损失的，确认为递延收益，并在确认相关成本费用或损失的期间，计入</w:t>
      </w:r>
      <w:r>
        <w:rPr>
          <w:rFonts w:cs="Times New Roman" w:hint="eastAsia"/>
        </w:rPr>
        <w:t>当期损益；</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rPr>
        <w:t>用于补偿本公司已发生的相关成本费用或损失的，直接计入当期损益。</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rPr>
        <w:lastRenderedPageBreak/>
        <w:t>对于同时包含与资产相关部分和与收益相关部分的政府补助，区分不同部分分别进行会计处理；难以区分的，整体归类为与收益相关的政府补助。</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rPr>
        <w:t>与本公司日常活动相关的政府补助，按照经济业务实质，计入其他收益。与本公司日常活动无关的政府补助，计入营业外收支。</w:t>
      </w:r>
    </w:p>
    <w:p w:rsidR="000C39A3" w:rsidRDefault="000C39A3">
      <w:pPr>
        <w:pStyle w:val="a4"/>
        <w:spacing w:before="120" w:beforeAutospacing="0" w:after="0" w:afterAutospacing="0" w:line="360" w:lineRule="auto"/>
        <w:ind w:firstLine="480"/>
        <w:jc w:val="both"/>
        <w:divId w:val="1794473229"/>
        <w:rPr>
          <w:rFonts w:ascii="Times New Roman" w:hAnsi="Times New Roman" w:cs="Times New Roman"/>
          <w:sz w:val="21"/>
          <w:szCs w:val="21"/>
        </w:rPr>
      </w:pPr>
      <w:r>
        <w:rPr>
          <w:rFonts w:cs="Times New Roman" w:hint="eastAsia"/>
          <w:color w:val="000000"/>
        </w:rPr>
        <w:t>③政府补助退回</w:t>
      </w:r>
    </w:p>
    <w:p w:rsidR="000C39A3" w:rsidRPr="008071B9" w:rsidRDefault="000C39A3" w:rsidP="008071B9">
      <w:pPr>
        <w:pStyle w:val="a4"/>
        <w:spacing w:before="120" w:beforeAutospacing="0" w:after="0" w:afterAutospacing="0" w:line="360" w:lineRule="auto"/>
        <w:ind w:firstLine="480"/>
        <w:jc w:val="both"/>
        <w:divId w:val="1794473229"/>
        <w:rPr>
          <w:rFonts w:cs="Times New Roman"/>
        </w:rPr>
      </w:pPr>
      <w:r w:rsidRPr="008071B9">
        <w:rPr>
          <w:rFonts w:cs="Times New Roman" w:hint="eastAsia"/>
        </w:rPr>
        <w:t>已确认的政府补助需要返还时，初始确认时冲减相关资产账面价值的，调整资产账面价值；存在相关递延收益余额的，冲减相关递延收益账面余额，超出部分计入当期损益；属于其他情况的，直接计入当期损益。</w:t>
      </w:r>
    </w:p>
    <w:p w:rsidR="0080594E" w:rsidRDefault="000C39A3">
      <w:pPr>
        <w:pStyle w:val="3"/>
        <w:spacing w:line="280" w:lineRule="exact"/>
        <w:jc w:val="left"/>
        <w:rPr>
          <w:rFonts w:ascii="宋体" w:hAnsi="宋体" w:cs="宋体"/>
          <w:b/>
          <w:bCs/>
        </w:rPr>
      </w:pPr>
      <w:bookmarkStart w:id="191" w:name="_Toc989081"/>
      <w:r>
        <w:rPr>
          <w:rFonts w:ascii="宋体" w:hAnsi="宋体" w:cs="宋体"/>
          <w:b/>
          <w:bCs/>
        </w:rPr>
        <w:t>27、递延所得税资产/递延所得税负债</w:t>
      </w:r>
      <w:bookmarkEnd w:id="191"/>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cs="Times New Roman" w:hint="eastAsia"/>
          <w:color w:val="000000"/>
        </w:rPr>
        <w:t>本公司通常根据资产与负债在资产负债表日的账面价值与计税基础之间的暂时性差异，采用资产负债表债务法将应纳税暂时性差异或可抵扣暂时性差异对所得税的影响额确认和计量为递延所得税负债或递延所得税资产。本公司不对递延所得税资产和递延所得税负债进行折现。</w:t>
      </w:r>
    </w:p>
    <w:p w:rsidR="000C39A3" w:rsidRDefault="000C39A3">
      <w:pPr>
        <w:pStyle w:val="a4"/>
        <w:spacing w:before="120" w:beforeAutospacing="0" w:after="0" w:afterAutospacing="0" w:line="360" w:lineRule="auto"/>
        <w:ind w:firstLine="482"/>
        <w:jc w:val="both"/>
        <w:divId w:val="2001078527"/>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）递延所得税资产的确认</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cs="Times New Roman" w:hint="eastAsia"/>
          <w:color w:val="000000"/>
        </w:rPr>
        <w:t>对于可抵扣暂时性差异、能够结转以后年度的可抵扣亏损和税款抵减，其对所得税的影响额按预计转回期间的所得税税率计算，并将该影响额确认为递延所得税资产，但是以本公司很可能取得用来抵扣可抵扣暂时性差异、可抵扣亏损和税款抵减的未来应纳税所得额为限。</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cs="Times New Roman" w:hint="eastAsia"/>
          <w:color w:val="000000"/>
        </w:rPr>
        <w:t>同时具有下列特征的交易或事项中因资产或负债的初始确认所产生的可抵扣暂时性差异对所得税的影响额不确认为递延所得税资产：</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ascii="Times New Roman" w:hAnsi="Times New Roman" w:cs="Times New Roman"/>
          <w:color w:val="000000"/>
        </w:rPr>
        <w:t>A.</w:t>
      </w:r>
      <w:r>
        <w:rPr>
          <w:rFonts w:cs="Times New Roman" w:hint="eastAsia"/>
          <w:color w:val="000000"/>
        </w:rPr>
        <w:t>该项交易不是企业合并；</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ascii="Times New Roman" w:hAnsi="Times New Roman" w:cs="Times New Roman"/>
          <w:color w:val="000000"/>
        </w:rPr>
        <w:t>B.</w:t>
      </w:r>
      <w:r>
        <w:rPr>
          <w:rFonts w:cs="Times New Roman" w:hint="eastAsia"/>
          <w:color w:val="000000"/>
        </w:rPr>
        <w:t>交易发生时既不影响会计利润也不影响应纳税所得额（或可抵扣亏损）。</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cs="Times New Roman" w:hint="eastAsia"/>
          <w:color w:val="000000"/>
        </w:rPr>
        <w:t>本公司对与子公司、联营公司及合营企业投资相关的可抵扣暂时性差异，同时满足下列两项条件的，其对所得税的影响额（才能）确认为递延所得税资产：</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ascii="Times New Roman" w:hAnsi="Times New Roman" w:cs="Times New Roman"/>
          <w:color w:val="000000"/>
        </w:rPr>
        <w:t>A.</w:t>
      </w:r>
      <w:r>
        <w:rPr>
          <w:rFonts w:cs="Times New Roman" w:hint="eastAsia"/>
          <w:color w:val="000000"/>
        </w:rPr>
        <w:t>暂时性差异在可预见的未来很可能转回；</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ascii="Times New Roman" w:hAnsi="Times New Roman" w:cs="Times New Roman"/>
          <w:color w:val="000000"/>
        </w:rPr>
        <w:t>B.</w:t>
      </w:r>
      <w:r>
        <w:rPr>
          <w:rFonts w:cs="Times New Roman" w:hint="eastAsia"/>
          <w:color w:val="000000"/>
        </w:rPr>
        <w:t>未来很可能获得用来抵扣可抵扣暂时性差异的应纳税所得额；</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cs="Times New Roman" w:hint="eastAsia"/>
          <w:color w:val="000000"/>
        </w:rPr>
        <w:lastRenderedPageBreak/>
        <w:t>资产负债表日，有确凿证据表明未来期间很可能获得足够的应纳税所得额用来抵扣可抵扣暂时性差异的，确认以前期间未确认的递延所得税资产。</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cs="Times New Roman" w:hint="eastAsia"/>
          <w:color w:val="000000"/>
        </w:rPr>
        <w:t>在资产负债表日，本公司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p w:rsidR="000C39A3" w:rsidRDefault="000C39A3">
      <w:pPr>
        <w:pStyle w:val="a4"/>
        <w:spacing w:before="120" w:beforeAutospacing="0" w:after="0" w:afterAutospacing="0" w:line="360" w:lineRule="auto"/>
        <w:ind w:firstLine="482"/>
        <w:jc w:val="both"/>
        <w:divId w:val="2001078527"/>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2</w:t>
      </w:r>
      <w:r>
        <w:rPr>
          <w:rStyle w:val="a5"/>
          <w:rFonts w:cs="Times New Roman" w:hint="eastAsia"/>
        </w:rPr>
        <w:t>）递延所得税负债的确认</w:t>
      </w:r>
    </w:p>
    <w:p w:rsidR="000C39A3" w:rsidRDefault="000C39A3">
      <w:pPr>
        <w:pStyle w:val="a4"/>
        <w:spacing w:before="120" w:beforeAutospacing="0" w:after="0" w:afterAutospacing="0" w:line="360" w:lineRule="auto"/>
        <w:ind w:firstLine="480"/>
        <w:jc w:val="both"/>
        <w:divId w:val="2001078527"/>
        <w:rPr>
          <w:rFonts w:ascii="Times New Roman" w:hAnsi="Times New Roman" w:cs="Times New Roman"/>
          <w:sz w:val="21"/>
          <w:szCs w:val="21"/>
        </w:rPr>
      </w:pPr>
      <w:r>
        <w:rPr>
          <w:rFonts w:cs="Times New Roman" w:hint="eastAsia"/>
          <w:color w:val="000000"/>
        </w:rPr>
        <w:t>本公司所有应纳税暂时性差异均按预计转回期间的所得税税率计量对所得税的影响，并将该影响额确认为递延所得税负债。</w:t>
      </w:r>
    </w:p>
    <w:p w:rsidR="0080594E" w:rsidRDefault="000C39A3">
      <w:pPr>
        <w:pStyle w:val="3"/>
        <w:spacing w:line="280" w:lineRule="exact"/>
        <w:jc w:val="left"/>
        <w:rPr>
          <w:rFonts w:ascii="宋体" w:hAnsi="宋体" w:cs="宋体"/>
          <w:b/>
          <w:bCs/>
        </w:rPr>
      </w:pPr>
      <w:bookmarkStart w:id="192" w:name="_Toc989082"/>
      <w:r>
        <w:rPr>
          <w:rFonts w:ascii="宋体" w:hAnsi="宋体" w:cs="宋体"/>
          <w:b/>
          <w:bCs/>
        </w:rPr>
        <w:t>28、租赁</w:t>
      </w:r>
      <w:bookmarkEnd w:id="192"/>
    </w:p>
    <w:p w:rsidR="0080594E" w:rsidRDefault="000C39A3">
      <w:pPr>
        <w:keepNext/>
        <w:keepLines/>
        <w:spacing w:before="300" w:after="300" w:line="280" w:lineRule="exact"/>
        <w:outlineLvl w:val="3"/>
        <w:rPr>
          <w:rFonts w:ascii="宋体" w:eastAsia="宋体" w:hAnsi="宋体" w:cs="宋体"/>
          <w:b/>
          <w:bCs/>
          <w:szCs w:val="21"/>
        </w:rPr>
      </w:pPr>
      <w:bookmarkStart w:id="193" w:name="_Toc989083"/>
      <w:r>
        <w:rPr>
          <w:rFonts w:ascii="宋体" w:eastAsia="宋体" w:hAnsi="宋体" w:cs="宋体"/>
          <w:b/>
          <w:bCs/>
          <w:szCs w:val="21"/>
        </w:rPr>
        <w:t>（1） 经营租赁的会计处理方法</w:t>
      </w:r>
      <w:bookmarkEnd w:id="193"/>
    </w:p>
    <w:p w:rsidR="000C39A3" w:rsidRDefault="000C39A3">
      <w:pPr>
        <w:pStyle w:val="a4"/>
        <w:spacing w:before="120" w:beforeAutospacing="0" w:after="0" w:afterAutospacing="0" w:line="360" w:lineRule="auto"/>
        <w:ind w:firstLine="482"/>
        <w:jc w:val="both"/>
        <w:divId w:val="503210816"/>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1</w:t>
      </w:r>
      <w:r>
        <w:rPr>
          <w:rStyle w:val="a5"/>
          <w:rFonts w:cs="Times New Roman" w:hint="eastAsia"/>
        </w:rPr>
        <w:t>）租赁的识别</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在合同开始日，本公司评估合同是否为租赁或者包含租赁，如果合同中一方让渡了在一定期间内控制一项或多项已识别资产使用的权利以换取对价，则该合同为租赁或者包含租赁。为确定合同是否让渡了在一定期间内控制已识别资产使用的权利，本公司评估合同中的客户是否有权获得在使用期间内因使用已识别资产所产生的几乎全部经济利益，并有权在该使用期间主导已识别资产的使用。</w:t>
      </w:r>
    </w:p>
    <w:p w:rsidR="000C39A3" w:rsidRDefault="000C39A3">
      <w:pPr>
        <w:pStyle w:val="a4"/>
        <w:spacing w:before="120" w:beforeAutospacing="0" w:after="0" w:afterAutospacing="0" w:line="360" w:lineRule="auto"/>
        <w:ind w:firstLine="482"/>
        <w:jc w:val="both"/>
        <w:divId w:val="503210816"/>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2</w:t>
      </w:r>
      <w:r>
        <w:rPr>
          <w:rStyle w:val="a5"/>
          <w:rFonts w:cs="Times New Roman" w:hint="eastAsia"/>
        </w:rPr>
        <w:t>）单独租赁的识别</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合同中同时包含多项单独租赁的，本公司将合同予以分拆，并分别各项单独租赁进行会计处理。同时符合下列条件的，使用已识别资产的权利构成合同中的一项单独租赁：①</w:t>
      </w:r>
      <w:r>
        <w:rPr>
          <w:rFonts w:ascii="Times New Roman" w:hAnsi="Times New Roman" w:cs="Times New Roman"/>
        </w:rPr>
        <w:t xml:space="preserve"> </w:t>
      </w:r>
      <w:r>
        <w:rPr>
          <w:rFonts w:cs="Times New Roman" w:hint="eastAsia"/>
        </w:rPr>
        <w:t>承租人可从单独使用该资产或将其与易于获得的其他资源一起使用中获利；②</w:t>
      </w:r>
      <w:r>
        <w:rPr>
          <w:rFonts w:ascii="Times New Roman" w:hAnsi="Times New Roman" w:cs="Times New Roman"/>
        </w:rPr>
        <w:t xml:space="preserve"> </w:t>
      </w:r>
      <w:r>
        <w:rPr>
          <w:rFonts w:cs="Times New Roman" w:hint="eastAsia"/>
        </w:rPr>
        <w:t>该资产与合同中的其他资产不存在高度依赖或高度关联关系。</w:t>
      </w:r>
    </w:p>
    <w:p w:rsidR="000C39A3" w:rsidRDefault="000C39A3">
      <w:pPr>
        <w:pStyle w:val="a4"/>
        <w:spacing w:before="120" w:beforeAutospacing="0" w:after="0" w:afterAutospacing="0" w:line="360" w:lineRule="auto"/>
        <w:ind w:firstLine="482"/>
        <w:jc w:val="both"/>
        <w:divId w:val="503210816"/>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3</w:t>
      </w:r>
      <w:r>
        <w:rPr>
          <w:rStyle w:val="a5"/>
          <w:rFonts w:cs="Times New Roman" w:hint="eastAsia"/>
        </w:rPr>
        <w:t>）本公司作为出租人的会计处理方法</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在租赁开始日，本公司将实质上转移了与租赁资产所有权有关的几乎全部风险和报酬的租赁划分为融资租赁，除此之外的均为经营租赁。</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经营租赁，本公司在租赁期内各个期间按</w:t>
      </w:r>
      <w:r>
        <w:rPr>
          <w:rFonts w:cs="Times New Roman" w:hint="eastAsia"/>
          <w:color w:val="000000"/>
        </w:rPr>
        <w:t>照直线法</w:t>
      </w:r>
      <w:r w:rsidR="006F5E8B">
        <w:rPr>
          <w:rFonts w:cs="Times New Roman" w:hint="eastAsia"/>
          <w:color w:val="000000"/>
        </w:rPr>
        <w:t>或其他系统合理的方法</w:t>
      </w:r>
      <w:r>
        <w:rPr>
          <w:rFonts w:cs="Times New Roman" w:hint="eastAsia"/>
          <w:color w:val="000000"/>
        </w:rPr>
        <w:t>将</w:t>
      </w:r>
      <w:r>
        <w:rPr>
          <w:rFonts w:cs="Times New Roman" w:hint="eastAsia"/>
        </w:rPr>
        <w:t>租赁收款额确认为租金收入，发生的初始直接费用予以资本化并按照与租金收入确认相同的基础进</w:t>
      </w:r>
      <w:r>
        <w:rPr>
          <w:rFonts w:cs="Times New Roman" w:hint="eastAsia"/>
        </w:rPr>
        <w:lastRenderedPageBreak/>
        <w:t>行分摊，分期计入当期损益。本公司取得的与经营租赁有关的未计入租赁收款额的可变租赁付款额在实际发生时计入当期损益。</w:t>
      </w:r>
    </w:p>
    <w:p w:rsidR="000C39A3" w:rsidRDefault="000C39A3">
      <w:pPr>
        <w:pStyle w:val="a4"/>
        <w:spacing w:before="120" w:beforeAutospacing="0" w:after="0" w:afterAutospacing="0" w:line="360" w:lineRule="auto"/>
        <w:ind w:firstLine="482"/>
        <w:jc w:val="both"/>
        <w:divId w:val="503210816"/>
        <w:rPr>
          <w:rFonts w:ascii="Times New Roman" w:hAnsi="Times New Roman" w:cs="Times New Roman"/>
          <w:sz w:val="21"/>
          <w:szCs w:val="21"/>
        </w:rPr>
      </w:pPr>
      <w:r>
        <w:rPr>
          <w:rStyle w:val="a5"/>
          <w:rFonts w:cs="Times New Roman" w:hint="eastAsia"/>
        </w:rPr>
        <w:t>（</w:t>
      </w:r>
      <w:r>
        <w:rPr>
          <w:rStyle w:val="a5"/>
          <w:rFonts w:ascii="Times New Roman" w:hAnsi="Times New Roman" w:cs="Times New Roman"/>
        </w:rPr>
        <w:t>4</w:t>
      </w:r>
      <w:r>
        <w:rPr>
          <w:rStyle w:val="a5"/>
          <w:rFonts w:cs="Times New Roman" w:hint="eastAsia"/>
        </w:rPr>
        <w:t>）租赁变更的会计处理</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①租赁变更作为一项单独租赁</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租赁发生变更且同时符合下列条件的，本公司将该租赁变更作为一项单独租赁进行会计处理：</w:t>
      </w:r>
      <w:r>
        <w:rPr>
          <w:rFonts w:ascii="Times New Roman" w:hAnsi="Times New Roman" w:cs="Times New Roman"/>
        </w:rPr>
        <w:t>A.</w:t>
      </w:r>
      <w:r>
        <w:rPr>
          <w:rFonts w:cs="Times New Roman" w:hint="eastAsia"/>
        </w:rPr>
        <w:t>该租赁变更通过增加一项或多项租赁资产的使用权而扩大了租赁范围；</w:t>
      </w:r>
      <w:r>
        <w:rPr>
          <w:rFonts w:ascii="Times New Roman" w:hAnsi="Times New Roman" w:cs="Times New Roman"/>
        </w:rPr>
        <w:t>B.</w:t>
      </w:r>
      <w:r>
        <w:rPr>
          <w:rFonts w:cs="Times New Roman" w:hint="eastAsia"/>
        </w:rPr>
        <w:t>增加的对价与租赁范围扩大部分的单独价格按该合同情况调整后的金额相当。</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②租赁变更未作为一项单独租赁</w:t>
      </w:r>
    </w:p>
    <w:p w:rsidR="000C39A3" w:rsidRDefault="000C39A3">
      <w:pPr>
        <w:pStyle w:val="a4"/>
        <w:spacing w:before="120" w:beforeAutospacing="0" w:after="0" w:afterAutospacing="0" w:line="360" w:lineRule="auto"/>
        <w:ind w:firstLine="480"/>
        <w:jc w:val="both"/>
        <w:divId w:val="503210816"/>
        <w:rPr>
          <w:rFonts w:ascii="Times New Roman" w:hAnsi="Times New Roman" w:cs="Times New Roman"/>
          <w:sz w:val="21"/>
          <w:szCs w:val="21"/>
        </w:rPr>
      </w:pPr>
      <w:r>
        <w:rPr>
          <w:rFonts w:cs="Times New Roman" w:hint="eastAsia"/>
        </w:rPr>
        <w:t>本公司作为出租人，经营租赁发生变更的，本公司自变更生效日起将其作为一项新租赁进行会计处理，与变更前租赁有关的预收或应收租赁收款额视为新租赁的收款额。</w:t>
      </w:r>
    </w:p>
    <w:p w:rsidR="000C39A3" w:rsidRPr="008071B9" w:rsidRDefault="000C39A3" w:rsidP="008071B9">
      <w:pPr>
        <w:pStyle w:val="a4"/>
        <w:spacing w:before="120" w:beforeAutospacing="0" w:after="0" w:afterAutospacing="0" w:line="360" w:lineRule="auto"/>
        <w:ind w:firstLine="480"/>
        <w:jc w:val="both"/>
        <w:divId w:val="503210816"/>
        <w:rPr>
          <w:rFonts w:cs="Times New Roman"/>
        </w:rPr>
      </w:pPr>
      <w:r w:rsidRPr="00BA2C23">
        <w:rPr>
          <w:rFonts w:cs="Times New Roman" w:hint="eastAsia"/>
        </w:rPr>
        <w:t>融资租赁的变更未作为一项单独租赁进行会计处理的，本公司分别下列情形对变更后的租赁进行处理：如果租赁变更在租赁开始日生效，该租赁会被分类为经营租赁的，本公司自租赁变更生效日开始将其作为一项新租赁进行会计处理，并以租赁变更生效日前的租赁投资净额作为租赁资产的账面价值；如果租赁变更在租赁开始日生效，该租赁会被分类为融资租赁的，本公司按照关于修改或重新议定合同的规定进行会计处理。</w:t>
      </w:r>
    </w:p>
    <w:p w:rsidR="0080594E" w:rsidRDefault="000C39A3">
      <w:pPr>
        <w:pStyle w:val="3"/>
        <w:spacing w:line="280" w:lineRule="exact"/>
        <w:jc w:val="left"/>
        <w:rPr>
          <w:rFonts w:ascii="宋体" w:hAnsi="宋体" w:cs="宋体"/>
          <w:b/>
          <w:bCs/>
        </w:rPr>
      </w:pPr>
      <w:bookmarkStart w:id="194" w:name="_Toc989084"/>
      <w:r>
        <w:rPr>
          <w:rFonts w:ascii="宋体" w:hAnsi="宋体" w:cs="宋体"/>
          <w:b/>
          <w:bCs/>
        </w:rPr>
        <w:t>29、其他重要的会计政策和会计估计</w:t>
      </w:r>
      <w:bookmarkEnd w:id="194"/>
    </w:p>
    <w:p w:rsidR="000C39A3" w:rsidRDefault="000C39A3">
      <w:pPr>
        <w:pStyle w:val="a4"/>
        <w:spacing w:before="120" w:beforeAutospacing="0" w:after="0" w:afterAutospacing="0" w:line="360" w:lineRule="auto"/>
        <w:ind w:firstLine="480"/>
        <w:jc w:val="both"/>
        <w:divId w:val="569585627"/>
        <w:rPr>
          <w:rFonts w:ascii="Times New Roman" w:hAnsi="Times New Roman" w:cs="Times New Roman"/>
          <w:sz w:val="21"/>
          <w:szCs w:val="21"/>
        </w:rPr>
      </w:pPr>
      <w:r>
        <w:rPr>
          <w:rFonts w:cs="Times New Roman" w:hint="eastAsia"/>
        </w:rPr>
        <w:t>本公司根据历史经验和其它因素，包括对未来事项的合理预期，对所采用的重要会计估计和关键假设进行持续的评价。很可能导致下一会计年度资产和负债的账面价值出现重大调整风险的重要会计估计和关键假设列示如下：</w:t>
      </w:r>
    </w:p>
    <w:p w:rsidR="000C39A3" w:rsidRDefault="000C39A3">
      <w:pPr>
        <w:pStyle w:val="a4"/>
        <w:spacing w:before="120" w:beforeAutospacing="0" w:after="0" w:afterAutospacing="0" w:line="360" w:lineRule="auto"/>
        <w:ind w:firstLine="482"/>
        <w:jc w:val="both"/>
        <w:divId w:val="569585627"/>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1</w:t>
      </w:r>
      <w:r>
        <w:rPr>
          <w:rStyle w:val="a5"/>
          <w:rFonts w:cs="Times New Roman" w:hint="eastAsia"/>
          <w:color w:val="000000"/>
        </w:rPr>
        <w:t>）金融资产的分类</w:t>
      </w:r>
    </w:p>
    <w:p w:rsidR="000C39A3" w:rsidRDefault="000C39A3">
      <w:pPr>
        <w:pStyle w:val="a4"/>
        <w:spacing w:before="120" w:beforeAutospacing="0" w:after="0" w:afterAutospacing="0" w:line="360" w:lineRule="auto"/>
        <w:ind w:firstLine="480"/>
        <w:jc w:val="both"/>
        <w:divId w:val="569585627"/>
        <w:rPr>
          <w:rFonts w:ascii="Times New Roman" w:hAnsi="Times New Roman" w:cs="Times New Roman"/>
          <w:sz w:val="21"/>
          <w:szCs w:val="21"/>
        </w:rPr>
      </w:pPr>
      <w:r>
        <w:rPr>
          <w:rFonts w:cs="Times New Roman" w:hint="eastAsia"/>
          <w:color w:val="000000"/>
        </w:rPr>
        <w:t>本公司在确定金融资产的分类时涉及的重大判断包括业务模式及合同现金流量特征的分析等。</w:t>
      </w:r>
    </w:p>
    <w:p w:rsidR="000C39A3" w:rsidRDefault="000C39A3">
      <w:pPr>
        <w:pStyle w:val="a4"/>
        <w:spacing w:before="120" w:beforeAutospacing="0" w:after="0" w:afterAutospacing="0" w:line="360" w:lineRule="auto"/>
        <w:ind w:firstLine="480"/>
        <w:jc w:val="both"/>
        <w:divId w:val="569585627"/>
        <w:rPr>
          <w:rFonts w:ascii="Times New Roman" w:hAnsi="Times New Roman" w:cs="Times New Roman"/>
          <w:sz w:val="21"/>
          <w:szCs w:val="21"/>
        </w:rPr>
      </w:pPr>
      <w:r>
        <w:rPr>
          <w:rFonts w:cs="Times New Roman" w:hint="eastAsia"/>
          <w:color w:val="000000"/>
        </w:rPr>
        <w:t>本公司在金融资产组合的层次上确定管理金融资产的业务模式，考虑的因素包括评价和向关键管理人员报告金融资产业绩的方式、影响金融资产业绩的风险及其管理方式、以及相关业务管理人员获得报酬的方式等。</w:t>
      </w:r>
    </w:p>
    <w:p w:rsidR="000C39A3" w:rsidRDefault="000C39A3">
      <w:pPr>
        <w:pStyle w:val="a4"/>
        <w:spacing w:before="120" w:beforeAutospacing="0" w:after="0" w:afterAutospacing="0" w:line="360" w:lineRule="auto"/>
        <w:ind w:firstLine="480"/>
        <w:jc w:val="both"/>
        <w:divId w:val="569585627"/>
        <w:rPr>
          <w:rFonts w:ascii="Times New Roman" w:hAnsi="Times New Roman" w:cs="Times New Roman"/>
          <w:sz w:val="21"/>
          <w:szCs w:val="21"/>
        </w:rPr>
      </w:pPr>
      <w:r>
        <w:rPr>
          <w:rFonts w:cs="Times New Roman" w:hint="eastAsia"/>
          <w:color w:val="000000"/>
        </w:rPr>
        <w:lastRenderedPageBreak/>
        <w:t>本公司在评估金融资产的合同现金流量是否与基本借贷安排相一致时，存在以下主要判断：本金是否可能因提前还款等原因导致在存续期内的时间分布或者金额发生变动；利息是否仅包括货币时间价值、信用风险、其他基本借贷风险以及与成本和利润的对价。例如，提前偿付的金额是否仅反映了尚未支付的本金及以未偿付本金为基础的利息，以及因提前终止合同而支付的合理补偿。</w:t>
      </w:r>
    </w:p>
    <w:p w:rsidR="000C39A3" w:rsidRDefault="000C39A3">
      <w:pPr>
        <w:pStyle w:val="a4"/>
        <w:spacing w:before="120" w:beforeAutospacing="0" w:after="0" w:afterAutospacing="0" w:line="360" w:lineRule="auto"/>
        <w:ind w:firstLine="482"/>
        <w:jc w:val="both"/>
        <w:divId w:val="569585627"/>
        <w:rPr>
          <w:rFonts w:ascii="Times New Roman" w:hAnsi="Times New Roman" w:cs="Times New Roman"/>
          <w:sz w:val="21"/>
          <w:szCs w:val="21"/>
        </w:rPr>
      </w:pPr>
      <w:r>
        <w:rPr>
          <w:rStyle w:val="a5"/>
          <w:rFonts w:cs="Times New Roman" w:hint="eastAsia"/>
          <w:color w:val="000000"/>
        </w:rPr>
        <w:t>（</w:t>
      </w:r>
      <w:r>
        <w:rPr>
          <w:rStyle w:val="a5"/>
          <w:rFonts w:ascii="Times New Roman" w:hAnsi="Times New Roman" w:cs="Times New Roman"/>
          <w:color w:val="000000"/>
        </w:rPr>
        <w:t>2</w:t>
      </w:r>
      <w:r>
        <w:rPr>
          <w:rStyle w:val="a5"/>
          <w:rFonts w:cs="Times New Roman" w:hint="eastAsia"/>
          <w:color w:val="000000"/>
        </w:rPr>
        <w:t>）应收账款预期信用损失的计量</w:t>
      </w:r>
    </w:p>
    <w:p w:rsidR="000C39A3" w:rsidRDefault="000C39A3">
      <w:pPr>
        <w:pStyle w:val="a4"/>
        <w:spacing w:before="120" w:beforeAutospacing="0" w:after="0" w:afterAutospacing="0" w:line="360" w:lineRule="auto"/>
        <w:ind w:firstLine="480"/>
        <w:jc w:val="both"/>
        <w:divId w:val="569585627"/>
        <w:rPr>
          <w:rFonts w:ascii="Times New Roman" w:hAnsi="Times New Roman" w:cs="Times New Roman"/>
          <w:sz w:val="21"/>
          <w:szCs w:val="21"/>
        </w:rPr>
      </w:pPr>
      <w:r>
        <w:rPr>
          <w:rFonts w:cs="Times New Roman" w:hint="eastAsia"/>
          <w:color w:val="000000"/>
        </w:rPr>
        <w:t>本公司通过应收账款违约风险敞口和预期信用损失率计算应收账款预期信用损失，并基于违约概率和违约损失率确定预期信用损失率。在确定预期信用损失率时，本公司使用内部历史信用损失经验等数据，并结合当前状况和前瞻性信息对历史数据进行调整。在考虑前瞻性信息时，本公司使用的指标包括经济下滑的风险、外部市场环境、技术环境和客户情况的变化等。本公司定期监控并复核与预期信用损失计算相关的假设。</w:t>
      </w:r>
    </w:p>
    <w:p w:rsidR="0080594E" w:rsidRDefault="000C39A3">
      <w:pPr>
        <w:pStyle w:val="3"/>
        <w:spacing w:line="280" w:lineRule="exact"/>
        <w:jc w:val="left"/>
        <w:rPr>
          <w:rFonts w:ascii="宋体" w:hAnsi="宋体" w:cs="宋体"/>
          <w:b/>
          <w:bCs/>
        </w:rPr>
      </w:pPr>
      <w:bookmarkStart w:id="195" w:name="_Toc989085"/>
      <w:r>
        <w:rPr>
          <w:rFonts w:ascii="宋体" w:hAnsi="宋体" w:cs="宋体"/>
          <w:b/>
          <w:bCs/>
        </w:rPr>
        <w:t>30、重要会计政策和会计估计变更</w:t>
      </w:r>
      <w:bookmarkEnd w:id="195"/>
    </w:p>
    <w:p w:rsidR="0080594E" w:rsidRDefault="000C39A3">
      <w:pPr>
        <w:keepNext/>
        <w:keepLines/>
        <w:spacing w:before="300" w:after="300" w:line="280" w:lineRule="exact"/>
        <w:outlineLvl w:val="3"/>
        <w:rPr>
          <w:rFonts w:ascii="宋体" w:eastAsia="宋体" w:hAnsi="宋体" w:cs="宋体"/>
          <w:b/>
          <w:bCs/>
          <w:sz w:val="18"/>
          <w:szCs w:val="18"/>
        </w:rPr>
      </w:pPr>
      <w:bookmarkStart w:id="196" w:name="_Toc989086"/>
      <w:r>
        <w:rPr>
          <w:rFonts w:ascii="宋体" w:eastAsia="宋体" w:hAnsi="宋体" w:cs="宋体"/>
          <w:b/>
          <w:bCs/>
          <w:sz w:val="18"/>
          <w:szCs w:val="18"/>
        </w:rPr>
        <w:t>（1） 重要会计政策变更</w:t>
      </w:r>
      <w:bookmarkEnd w:id="196"/>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会计政策变更的内容和原因</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审批程序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备注</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2021年12月30日，财政部发布了《企业会计准则解释第15号》（财会[2021]35号）（以下简称“解释15号”），其中“关于企业将固定资产达到预定可使用状态前或者研发过程中产出的产品或副产品对外销售的会计处理”（以下简称“试运行销售的会计处理规定”）和“关于亏损合同的判断”内容自2022年1月1日起施行。</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执行解释15号的相关规定对本公司报告期内财务报表未产生重大影响。</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2022年11月30日，财政部发布了《企业会计准则解释第16号》（财会[2022]31号，以下简称解释16号），“关于单项交易产生的资产和负债相关的递延所得税不适用初始确认豁免的会计处理”内容自发布年度提前执行；“关于发行方分类为权益工具的金融工具相关股利的所得税影响的会计处理”、“关于企业将以现金结算的股份支付修改为以权益结算的股份支付的会计处理”内容自公布之日起施行。</w:t>
            </w:r>
            <w:r w:rsidR="00A272C0" w:rsidRPr="00A272C0">
              <w:rPr>
                <w:rFonts w:ascii="宋体" w:eastAsia="宋体" w:hAnsi="宋体" w:cs="宋体" w:hint="eastAsia"/>
                <w:sz w:val="18"/>
                <w:szCs w:val="18"/>
              </w:rPr>
              <w:t>本公司于2022年1月1日起执行解释16号的相关规定。</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不适用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执行解释16号的相关规定对本公司报告期内财务报表未产生重大影响。</w:t>
            </w:r>
          </w:p>
        </w:tc>
      </w:tr>
    </w:tbl>
    <w:p w:rsidR="0080594E" w:rsidRDefault="0080594E">
      <w:pPr>
        <w:spacing w:before="100" w:after="100" w:line="0" w:lineRule="atLeast"/>
      </w:pPr>
    </w:p>
    <w:p w:rsidR="0080594E" w:rsidRDefault="0080594E"/>
    <w:p w:rsidR="0080594E" w:rsidRDefault="000C39A3">
      <w:pPr>
        <w:keepNext/>
        <w:keepLines/>
        <w:spacing w:before="300" w:after="300" w:line="280" w:lineRule="exact"/>
        <w:outlineLvl w:val="3"/>
        <w:rPr>
          <w:rFonts w:ascii="宋体" w:eastAsia="宋体" w:hAnsi="宋体" w:cs="宋体"/>
          <w:b/>
          <w:bCs/>
          <w:sz w:val="18"/>
          <w:szCs w:val="18"/>
        </w:rPr>
      </w:pPr>
      <w:bookmarkStart w:id="197" w:name="_Toc989087"/>
      <w:r>
        <w:rPr>
          <w:rFonts w:ascii="宋体" w:eastAsia="宋体" w:hAnsi="宋体" w:cs="宋体"/>
          <w:b/>
          <w:bCs/>
          <w:sz w:val="18"/>
          <w:szCs w:val="18"/>
        </w:rPr>
        <w:lastRenderedPageBreak/>
        <w:t>（2） 重要会计估计变更</w:t>
      </w:r>
      <w:bookmarkEnd w:id="197"/>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F17034" w:rsidRDefault="00F17034">
      <w:pPr>
        <w:spacing w:before="40" w:after="40" w:line="240" w:lineRule="exact"/>
        <w:rPr>
          <w:rFonts w:ascii="宋体" w:eastAsia="宋体" w:hAnsi="宋体" w:cs="宋体"/>
          <w:sz w:val="18"/>
          <w:szCs w:val="18"/>
        </w:rPr>
      </w:pPr>
      <w:r w:rsidRPr="00F17034">
        <w:rPr>
          <w:rFonts w:ascii="宋体" w:eastAsia="宋体" w:hAnsi="宋体" w:cs="宋体" w:hint="eastAsia"/>
          <w:sz w:val="18"/>
          <w:szCs w:val="18"/>
        </w:rPr>
        <w:t>本报告期内，本公司无重大会计估计变更。</w:t>
      </w:r>
    </w:p>
    <w:p w:rsidR="0080594E" w:rsidRDefault="000C39A3">
      <w:pPr>
        <w:pStyle w:val="2"/>
        <w:spacing w:before="300" w:after="300" w:line="320" w:lineRule="exact"/>
        <w:rPr>
          <w:rFonts w:ascii="宋体" w:eastAsia="宋体" w:hAnsi="宋体" w:cs="宋体"/>
          <w:b/>
          <w:bCs/>
          <w:sz w:val="24"/>
          <w:szCs w:val="24"/>
        </w:rPr>
      </w:pPr>
      <w:bookmarkStart w:id="198" w:name="_Toc989088"/>
      <w:r>
        <w:rPr>
          <w:rFonts w:ascii="宋体" w:eastAsia="宋体" w:hAnsi="宋体" w:cs="宋体"/>
          <w:b/>
          <w:bCs/>
          <w:sz w:val="24"/>
          <w:szCs w:val="24"/>
        </w:rPr>
        <w:t>六、税项</w:t>
      </w:r>
      <w:bookmarkEnd w:id="198"/>
    </w:p>
    <w:p w:rsidR="0080594E" w:rsidRDefault="000C39A3">
      <w:pPr>
        <w:pStyle w:val="3"/>
        <w:spacing w:line="280" w:lineRule="exact"/>
        <w:jc w:val="left"/>
        <w:rPr>
          <w:rFonts w:ascii="宋体" w:hAnsi="宋体" w:cs="宋体"/>
          <w:b/>
          <w:bCs/>
        </w:rPr>
      </w:pPr>
      <w:bookmarkStart w:id="199" w:name="_Toc989089"/>
      <w:r>
        <w:rPr>
          <w:rFonts w:ascii="宋体" w:hAnsi="宋体" w:cs="宋体"/>
          <w:b/>
          <w:bCs/>
        </w:rPr>
        <w:t>1、主要税种及税率</w:t>
      </w:r>
      <w:bookmarkEnd w:id="199"/>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税种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计税依据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税率</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应纳税增值额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5%、9%、13%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5%、7%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地方教育费附加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w:t>
            </w:r>
          </w:p>
        </w:tc>
      </w:tr>
    </w:tbl>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存在不同企业所得税税率纳税主体的，披露情况说明</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纳税主体名称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所得税税率</w:t>
            </w:r>
          </w:p>
        </w:tc>
      </w:tr>
    </w:tbl>
    <w:p w:rsidR="0080594E" w:rsidRDefault="000C39A3">
      <w:pPr>
        <w:pStyle w:val="3"/>
        <w:spacing w:line="280" w:lineRule="exact"/>
        <w:jc w:val="left"/>
        <w:rPr>
          <w:rFonts w:ascii="宋体" w:hAnsi="宋体" w:cs="宋体"/>
          <w:b/>
          <w:bCs/>
        </w:rPr>
      </w:pPr>
      <w:bookmarkStart w:id="200" w:name="_Toc989090"/>
      <w:r>
        <w:rPr>
          <w:rFonts w:ascii="宋体" w:hAnsi="宋体" w:cs="宋体"/>
          <w:b/>
          <w:bCs/>
        </w:rPr>
        <w:t>2、税收优惠</w:t>
      </w:r>
      <w:bookmarkEnd w:id="200"/>
    </w:p>
    <w:p w:rsidR="000C39A3" w:rsidRDefault="000C39A3">
      <w:pPr>
        <w:pStyle w:val="a4"/>
        <w:spacing w:before="0" w:beforeAutospacing="0" w:after="120" w:afterAutospacing="0" w:line="360" w:lineRule="auto"/>
        <w:ind w:firstLine="480"/>
        <w:jc w:val="both"/>
        <w:divId w:val="1907759568"/>
        <w:rPr>
          <w:rFonts w:ascii="Times New Roman" w:hAnsi="Times New Roman" w:cs="Times New Roman"/>
          <w:sz w:val="21"/>
          <w:szCs w:val="21"/>
        </w:rPr>
      </w:pPr>
      <w:r>
        <w:rPr>
          <w:rFonts w:cs="Times New Roman" w:hint="eastAsia"/>
          <w:color w:val="000000"/>
        </w:rPr>
        <w:t>本公司于</w:t>
      </w:r>
      <w:r>
        <w:rPr>
          <w:rFonts w:ascii="Times New Roman" w:hAnsi="Times New Roman" w:cs="Times New Roman"/>
          <w:color w:val="000000"/>
        </w:rPr>
        <w:t>2022</w:t>
      </w:r>
      <w:r>
        <w:rPr>
          <w:rFonts w:cs="Times New Roman" w:hint="eastAsia"/>
          <w:color w:val="000000"/>
        </w:rPr>
        <w:t>年</w:t>
      </w:r>
      <w:r>
        <w:rPr>
          <w:rFonts w:ascii="Times New Roman" w:hAnsi="Times New Roman" w:cs="Times New Roman"/>
          <w:color w:val="000000"/>
        </w:rPr>
        <w:t>11</w:t>
      </w:r>
      <w:r>
        <w:rPr>
          <w:rFonts w:cs="Times New Roman" w:hint="eastAsia"/>
          <w:color w:val="000000"/>
        </w:rPr>
        <w:t>月</w:t>
      </w:r>
      <w:r>
        <w:rPr>
          <w:rFonts w:ascii="Times New Roman" w:hAnsi="Times New Roman" w:cs="Times New Roman"/>
          <w:color w:val="000000"/>
        </w:rPr>
        <w:t xml:space="preserve">17 </w:t>
      </w:r>
      <w:r>
        <w:rPr>
          <w:rFonts w:cs="Times New Roman" w:hint="eastAsia"/>
          <w:color w:val="000000"/>
        </w:rPr>
        <w:t>日取得由厦门市科学技术局、厦门市财政局、国家税务总局厦门市税务局联合颁发的《高新技术企业证书》（证书编号：</w:t>
      </w:r>
      <w:r>
        <w:rPr>
          <w:rFonts w:ascii="Times New Roman" w:hAnsi="Times New Roman" w:cs="Times New Roman"/>
          <w:color w:val="000000"/>
        </w:rPr>
        <w:t>GR202235100393</w:t>
      </w:r>
      <w:r>
        <w:rPr>
          <w:rFonts w:cs="Times New Roman" w:hint="eastAsia"/>
          <w:color w:val="000000"/>
        </w:rPr>
        <w:t>），有效期三年，公司</w:t>
      </w:r>
      <w:r>
        <w:rPr>
          <w:rFonts w:ascii="Times New Roman" w:hAnsi="Times New Roman" w:cs="Times New Roman"/>
          <w:color w:val="000000"/>
        </w:rPr>
        <w:t>2022</w:t>
      </w:r>
      <w:r>
        <w:rPr>
          <w:rFonts w:cs="Times New Roman" w:hint="eastAsia"/>
          <w:color w:val="000000"/>
        </w:rPr>
        <w:t>年度适用</w:t>
      </w:r>
      <w:r>
        <w:rPr>
          <w:rFonts w:ascii="Times New Roman" w:hAnsi="Times New Roman" w:cs="Times New Roman"/>
          <w:color w:val="000000"/>
        </w:rPr>
        <w:t>15%</w:t>
      </w:r>
      <w:r>
        <w:rPr>
          <w:rFonts w:cs="Times New Roman" w:hint="eastAsia"/>
          <w:color w:val="000000"/>
        </w:rPr>
        <w:t>的企业所得税税率。</w:t>
      </w:r>
    </w:p>
    <w:p w:rsidR="000C39A3" w:rsidRDefault="000C39A3">
      <w:pPr>
        <w:pStyle w:val="a4"/>
        <w:spacing w:before="120" w:beforeAutospacing="0" w:after="120" w:afterAutospacing="0" w:line="360" w:lineRule="auto"/>
        <w:ind w:firstLine="480"/>
        <w:jc w:val="both"/>
        <w:divId w:val="1907759568"/>
        <w:rPr>
          <w:rFonts w:ascii="Times New Roman" w:hAnsi="Times New Roman" w:cs="Times New Roman"/>
          <w:sz w:val="21"/>
          <w:szCs w:val="21"/>
        </w:rPr>
      </w:pPr>
      <w:r>
        <w:rPr>
          <w:rFonts w:cs="Times New Roman" w:hint="eastAsia"/>
          <w:color w:val="000000"/>
        </w:rPr>
        <w:t>本公司销售嵌入式软件产品，根据《财政部、国家税务总局关于软件产品增值税政策的通知》（财税（</w:t>
      </w:r>
      <w:r>
        <w:rPr>
          <w:rFonts w:ascii="Times New Roman" w:hAnsi="Times New Roman" w:cs="Times New Roman"/>
          <w:color w:val="000000"/>
        </w:rPr>
        <w:t>2011</w:t>
      </w:r>
      <w:r>
        <w:rPr>
          <w:rFonts w:cs="Times New Roman" w:hint="eastAsia"/>
          <w:color w:val="000000"/>
        </w:rPr>
        <w:t>）</w:t>
      </w:r>
      <w:r>
        <w:rPr>
          <w:rFonts w:ascii="Times New Roman" w:hAnsi="Times New Roman" w:cs="Times New Roman"/>
          <w:color w:val="000000"/>
        </w:rPr>
        <w:t>100</w:t>
      </w:r>
      <w:r>
        <w:rPr>
          <w:rFonts w:cs="Times New Roman" w:hint="eastAsia"/>
          <w:color w:val="000000"/>
        </w:rPr>
        <w:t>号）第一条规定，一般纳税人销售其自行开发生产的软件产品，按</w:t>
      </w:r>
      <w:r>
        <w:rPr>
          <w:rFonts w:ascii="Times New Roman" w:hAnsi="Times New Roman" w:cs="Times New Roman"/>
          <w:color w:val="000000"/>
        </w:rPr>
        <w:t>17%</w:t>
      </w:r>
      <w:r>
        <w:rPr>
          <w:rFonts w:cs="Times New Roman" w:hint="eastAsia"/>
          <w:color w:val="000000"/>
        </w:rPr>
        <w:t>税率（本年度实际税率为</w:t>
      </w:r>
      <w:r>
        <w:rPr>
          <w:rFonts w:ascii="Times New Roman" w:hAnsi="Times New Roman" w:cs="Times New Roman"/>
          <w:color w:val="000000"/>
        </w:rPr>
        <w:t>13%</w:t>
      </w:r>
      <w:r>
        <w:rPr>
          <w:rFonts w:cs="Times New Roman" w:hint="eastAsia"/>
          <w:color w:val="000000"/>
        </w:rPr>
        <w:t>）征收增值税后，对其增值税实际税负超过</w:t>
      </w:r>
      <w:r>
        <w:rPr>
          <w:rFonts w:ascii="Times New Roman" w:hAnsi="Times New Roman" w:cs="Times New Roman"/>
          <w:color w:val="000000"/>
        </w:rPr>
        <w:t>3%</w:t>
      </w:r>
      <w:r>
        <w:rPr>
          <w:rFonts w:cs="Times New Roman" w:hint="eastAsia"/>
          <w:color w:val="000000"/>
        </w:rPr>
        <w:t>的部分实行即征即退政策。</w:t>
      </w:r>
    </w:p>
    <w:p w:rsidR="0080594E" w:rsidRDefault="000C39A3" w:rsidP="008071B9">
      <w:pPr>
        <w:pStyle w:val="3"/>
        <w:spacing w:line="280" w:lineRule="exact"/>
        <w:jc w:val="left"/>
      </w:pPr>
      <w:bookmarkStart w:id="201" w:name="_Toc989091"/>
      <w:r>
        <w:rPr>
          <w:rFonts w:ascii="宋体" w:hAnsi="宋体" w:cs="宋体"/>
          <w:b/>
          <w:bCs/>
        </w:rPr>
        <w:t>3、其他</w:t>
      </w:r>
      <w:bookmarkEnd w:id="201"/>
    </w:p>
    <w:p w:rsidR="0080594E" w:rsidRDefault="000C39A3">
      <w:pPr>
        <w:pStyle w:val="2"/>
        <w:spacing w:before="300" w:after="300" w:line="320" w:lineRule="exact"/>
        <w:rPr>
          <w:rFonts w:ascii="宋体" w:eastAsia="宋体" w:hAnsi="宋体" w:cs="宋体"/>
          <w:b/>
          <w:bCs/>
          <w:sz w:val="24"/>
          <w:szCs w:val="24"/>
        </w:rPr>
      </w:pPr>
      <w:bookmarkStart w:id="202" w:name="_Toc989092"/>
      <w:r>
        <w:rPr>
          <w:rFonts w:ascii="宋体" w:eastAsia="宋体" w:hAnsi="宋体" w:cs="宋体"/>
          <w:b/>
          <w:bCs/>
          <w:sz w:val="24"/>
          <w:szCs w:val="24"/>
        </w:rPr>
        <w:t>七、财务报表项目注释</w:t>
      </w:r>
      <w:bookmarkEnd w:id="202"/>
    </w:p>
    <w:p w:rsidR="0080594E" w:rsidRDefault="000C39A3">
      <w:pPr>
        <w:pStyle w:val="3"/>
        <w:spacing w:line="280" w:lineRule="exact"/>
        <w:jc w:val="left"/>
        <w:rPr>
          <w:rFonts w:ascii="宋体" w:hAnsi="宋体" w:cs="宋体"/>
          <w:b/>
          <w:bCs/>
        </w:rPr>
      </w:pPr>
      <w:bookmarkStart w:id="203" w:name="_Toc989093"/>
      <w:r>
        <w:rPr>
          <w:rFonts w:ascii="宋体" w:hAnsi="宋体" w:cs="宋体"/>
          <w:b/>
          <w:bCs/>
        </w:rPr>
        <w:t>1、货币资金</w:t>
      </w:r>
      <w:bookmarkEnd w:id="20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库存现金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12,129.60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8,933.22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银行存款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788,297,092.30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692,550,666.54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其他货币资金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1,500,000.00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13,250,000.00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789,809,221.90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705,809,599.76</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Pr="008071B9" w:rsidRDefault="000C39A3" w:rsidP="008071B9">
      <w:pPr>
        <w:pStyle w:val="a4"/>
        <w:spacing w:before="120" w:beforeAutospacing="0" w:after="120" w:afterAutospacing="0" w:line="360" w:lineRule="auto"/>
        <w:ind w:firstLine="480"/>
        <w:jc w:val="both"/>
        <w:divId w:val="1048332647"/>
        <w:rPr>
          <w:rFonts w:cs="Times New Roman"/>
          <w:color w:val="000000"/>
        </w:rPr>
      </w:pPr>
      <w:r w:rsidRPr="001D5CBA">
        <w:rPr>
          <w:rFonts w:cs="Times New Roman" w:hint="eastAsia"/>
          <w:color w:val="000000"/>
        </w:rPr>
        <w:lastRenderedPageBreak/>
        <w:t>其他货币资金为银行承兑汇票保证金</w:t>
      </w:r>
      <w:r w:rsidRPr="008071B9">
        <w:rPr>
          <w:rFonts w:cs="Times New Roman"/>
          <w:color w:val="000000"/>
        </w:rPr>
        <w:t>150.00</w:t>
      </w:r>
      <w:r w:rsidRPr="001D5CBA">
        <w:rPr>
          <w:rFonts w:cs="Times New Roman" w:hint="eastAsia"/>
          <w:color w:val="000000"/>
        </w:rPr>
        <w:t>万元。除此之外，期末货币资金中无其他因抵押、质押或冻结等对使用有限制、有潜在回收风险的款项。</w:t>
      </w:r>
    </w:p>
    <w:p w:rsidR="0080594E" w:rsidRDefault="000C39A3">
      <w:pPr>
        <w:pStyle w:val="3"/>
        <w:spacing w:line="280" w:lineRule="exact"/>
        <w:jc w:val="left"/>
        <w:rPr>
          <w:rFonts w:ascii="宋体" w:hAnsi="宋体" w:cs="宋体"/>
          <w:b/>
          <w:bCs/>
        </w:rPr>
      </w:pPr>
      <w:bookmarkStart w:id="204" w:name="_Toc989094"/>
      <w:r>
        <w:rPr>
          <w:rFonts w:ascii="宋体" w:hAnsi="宋体" w:cs="宋体"/>
          <w:b/>
          <w:bCs/>
        </w:rPr>
        <w:t>2、应收票据</w:t>
      </w:r>
      <w:bookmarkEnd w:id="204"/>
    </w:p>
    <w:p w:rsidR="0080594E" w:rsidRDefault="000C39A3">
      <w:pPr>
        <w:keepNext/>
        <w:keepLines/>
        <w:spacing w:before="300" w:after="300" w:line="280" w:lineRule="exact"/>
        <w:outlineLvl w:val="3"/>
        <w:rPr>
          <w:rFonts w:ascii="宋体" w:eastAsia="宋体" w:hAnsi="宋体" w:cs="宋体"/>
          <w:b/>
          <w:bCs/>
          <w:szCs w:val="21"/>
        </w:rPr>
      </w:pPr>
      <w:bookmarkStart w:id="205" w:name="_Toc989095"/>
      <w:r>
        <w:rPr>
          <w:rFonts w:ascii="宋体" w:eastAsia="宋体" w:hAnsi="宋体" w:cs="宋体"/>
          <w:b/>
          <w:bCs/>
          <w:szCs w:val="21"/>
        </w:rPr>
        <w:t>（1） 应收票据分类列示</w:t>
      </w:r>
      <w:bookmarkEnd w:id="20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34,321,822.67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43,468,880.80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34,321,822.67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43,468,880.80</w:t>
            </w:r>
          </w:p>
        </w:tc>
      </w:tr>
    </w:tbl>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80594E">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80594E">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按组合计提坏账准备的应收票据</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35,931,556.40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1,609,733.73</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34,321,822.67</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45,507,622.28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2,038,741.48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43,468,880.80</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组合2其他银行承兑汇票</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35,931,556.40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1,609,733.73</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34,321,822.67</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45,507,622.28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2,038,741.48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43,468,880.80</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35,931,556.40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1,609,733.73</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34,321,822.67</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45,507,622.28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2,038,741.48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43,468,880.80</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按组合计提坏账准备：组合2其他银行承兑汇票</w:t>
      </w:r>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35,931,556.40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1,609,733.73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35,931,556.40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1,609,733.73</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rsidP="008071B9">
      <w:pPr>
        <w:spacing w:before="100" w:after="100" w:line="240" w:lineRule="exact"/>
      </w:pPr>
      <w:r>
        <w:rPr>
          <w:rFonts w:ascii="宋体" w:eastAsia="宋体" w:hAnsi="宋体" w:cs="宋体"/>
          <w:sz w:val="18"/>
          <w:szCs w:val="18"/>
        </w:rPr>
        <w:t>确定该组合依据的说明：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如是按照预期信用损失一般模型计提应收票据坏账准备，请参照其他应收款的披露方式披露坏账准备的相关信息：</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keepNext/>
        <w:keepLines/>
        <w:spacing w:before="300" w:after="300" w:line="280" w:lineRule="exact"/>
        <w:outlineLvl w:val="3"/>
        <w:rPr>
          <w:rFonts w:ascii="宋体" w:eastAsia="宋体" w:hAnsi="宋体" w:cs="宋体"/>
          <w:b/>
          <w:bCs/>
          <w:szCs w:val="21"/>
        </w:rPr>
      </w:pPr>
      <w:bookmarkStart w:id="206" w:name="_Toc989096"/>
      <w:r>
        <w:rPr>
          <w:rFonts w:ascii="宋体" w:eastAsia="宋体" w:hAnsi="宋体" w:cs="宋体"/>
          <w:b/>
          <w:bCs/>
          <w:szCs w:val="21"/>
        </w:rPr>
        <w:t>（2） 本期计提、收回或转回的坏账准备情况</w:t>
      </w:r>
      <w:bookmarkEnd w:id="206"/>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本期计提坏账准备情况：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银行承兑汇票</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2,038,741.48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-429,007.75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1,609,733.73</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2,038,741.48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-429,007.75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1,609,733.73</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其中本期坏账准备收回或转回金额重要的：</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keepNext/>
        <w:keepLines/>
        <w:spacing w:before="300" w:after="300" w:line="280" w:lineRule="exact"/>
        <w:outlineLvl w:val="3"/>
        <w:rPr>
          <w:rFonts w:ascii="宋体" w:eastAsia="宋体" w:hAnsi="宋体" w:cs="宋体"/>
          <w:b/>
          <w:bCs/>
          <w:szCs w:val="21"/>
        </w:rPr>
      </w:pPr>
      <w:bookmarkStart w:id="207" w:name="_Toc989097"/>
      <w:r>
        <w:rPr>
          <w:rFonts w:ascii="宋体" w:eastAsia="宋体" w:hAnsi="宋体" w:cs="宋体"/>
          <w:b/>
          <w:bCs/>
          <w:szCs w:val="21"/>
        </w:rPr>
        <w:t>（3） 期末公司已质押的应收票据</w:t>
      </w:r>
      <w:bookmarkEnd w:id="20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期末已质押金额</w:t>
            </w:r>
          </w:p>
        </w:tc>
      </w:tr>
    </w:tbl>
    <w:p w:rsidR="0080594E" w:rsidRDefault="000C39A3">
      <w:pPr>
        <w:keepNext/>
        <w:keepLines/>
        <w:spacing w:before="300" w:after="300" w:line="280" w:lineRule="exact"/>
        <w:outlineLvl w:val="3"/>
        <w:rPr>
          <w:rFonts w:ascii="宋体" w:eastAsia="宋体" w:hAnsi="宋体" w:cs="宋体"/>
          <w:b/>
          <w:bCs/>
          <w:szCs w:val="21"/>
        </w:rPr>
      </w:pPr>
      <w:bookmarkStart w:id="208" w:name="_Toc989098"/>
      <w:r>
        <w:rPr>
          <w:rFonts w:ascii="宋体" w:eastAsia="宋体" w:hAnsi="宋体" w:cs="宋体"/>
          <w:b/>
          <w:bCs/>
          <w:szCs w:val="21"/>
        </w:rPr>
        <w:t>（4） 期末公司已背书或贴现且在资产负债表日尚未到期的应收票据</w:t>
      </w:r>
      <w:bookmarkEnd w:id="20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期末终止确认金额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期末未终止确认金额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19,505,829.15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19,505,829.15</w:t>
            </w:r>
          </w:p>
        </w:tc>
      </w:tr>
    </w:tbl>
    <w:p w:rsidR="0080594E" w:rsidRDefault="000C39A3">
      <w:pPr>
        <w:keepNext/>
        <w:keepLines/>
        <w:spacing w:before="300" w:after="300" w:line="280" w:lineRule="exact"/>
        <w:outlineLvl w:val="3"/>
        <w:rPr>
          <w:rFonts w:ascii="宋体" w:eastAsia="宋体" w:hAnsi="宋体" w:cs="宋体"/>
          <w:b/>
          <w:bCs/>
          <w:szCs w:val="21"/>
        </w:rPr>
      </w:pPr>
      <w:bookmarkStart w:id="209" w:name="_Toc989099"/>
      <w:r>
        <w:rPr>
          <w:rFonts w:ascii="宋体" w:eastAsia="宋体" w:hAnsi="宋体" w:cs="宋体"/>
          <w:b/>
          <w:bCs/>
          <w:szCs w:val="21"/>
        </w:rPr>
        <w:t>（5） 期末公司因出票人未履约而将其转应收账款的票据</w:t>
      </w:r>
      <w:bookmarkEnd w:id="20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期末转应收账款金额</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575745143"/>
        <w:rPr>
          <w:sz w:val="18"/>
          <w:szCs w:val="18"/>
        </w:rPr>
      </w:pPr>
      <w:r>
        <w:rPr>
          <w:rFonts w:hint="eastAsia"/>
          <w:sz w:val="18"/>
          <w:szCs w:val="18"/>
        </w:rPr>
        <w:t>无</w:t>
      </w:r>
    </w:p>
    <w:p w:rsidR="0080594E" w:rsidRDefault="000C39A3">
      <w:pPr>
        <w:keepNext/>
        <w:keepLines/>
        <w:spacing w:before="300" w:after="300" w:line="280" w:lineRule="exact"/>
        <w:outlineLvl w:val="3"/>
        <w:rPr>
          <w:rFonts w:ascii="宋体" w:eastAsia="宋体" w:hAnsi="宋体" w:cs="宋体"/>
          <w:b/>
          <w:bCs/>
          <w:szCs w:val="21"/>
        </w:rPr>
      </w:pPr>
      <w:bookmarkStart w:id="210" w:name="_Toc989100"/>
      <w:r>
        <w:rPr>
          <w:rFonts w:ascii="宋体" w:eastAsia="宋体" w:hAnsi="宋体" w:cs="宋体"/>
          <w:b/>
          <w:bCs/>
          <w:szCs w:val="21"/>
        </w:rPr>
        <w:t>（6） 本期实际核销的应收票据情况</w:t>
      </w:r>
      <w:bookmarkEnd w:id="21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其中重要的应收票据核销情况：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应收票据性质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核销原因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履行的核销程序</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款项是否由关联交易产生</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应收票据核销说明：</w:t>
      </w:r>
    </w:p>
    <w:p w:rsidR="000C39A3" w:rsidRDefault="000C39A3">
      <w:pPr>
        <w:pStyle w:val="a4"/>
        <w:divId w:val="1518152153"/>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211" w:name="_Toc989101"/>
      <w:r>
        <w:rPr>
          <w:rFonts w:ascii="宋体" w:hAnsi="宋体" w:cs="宋体"/>
          <w:b/>
          <w:bCs/>
        </w:rPr>
        <w:t>3、应收账款</w:t>
      </w:r>
      <w:bookmarkEnd w:id="211"/>
    </w:p>
    <w:p w:rsidR="0080594E" w:rsidRDefault="000C39A3">
      <w:pPr>
        <w:keepNext/>
        <w:keepLines/>
        <w:spacing w:before="300" w:after="300" w:line="280" w:lineRule="exact"/>
        <w:outlineLvl w:val="3"/>
        <w:rPr>
          <w:rFonts w:ascii="宋体" w:eastAsia="宋体" w:hAnsi="宋体" w:cs="宋体"/>
          <w:b/>
          <w:bCs/>
          <w:szCs w:val="21"/>
        </w:rPr>
      </w:pPr>
      <w:bookmarkStart w:id="212" w:name="_Toc989102"/>
      <w:r>
        <w:rPr>
          <w:rFonts w:ascii="宋体" w:eastAsia="宋体" w:hAnsi="宋体" w:cs="宋体"/>
          <w:b/>
          <w:bCs/>
          <w:szCs w:val="21"/>
        </w:rPr>
        <w:t>（1） 应收账款分类披露</w:t>
      </w:r>
      <w:bookmarkEnd w:id="21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80594E">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w:t>
            </w:r>
            <w:r>
              <w:rPr>
                <w:rFonts w:ascii="宋体" w:eastAsia="宋体" w:hAnsi="宋体" w:cs="宋体"/>
                <w:sz w:val="18"/>
                <w:szCs w:val="18"/>
              </w:rPr>
              <w:lastRenderedPageBreak/>
              <w:t>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w:t>
            </w:r>
            <w:r>
              <w:rPr>
                <w:rFonts w:ascii="宋体" w:eastAsia="宋体" w:hAnsi="宋体" w:cs="宋体"/>
                <w:sz w:val="18"/>
                <w:szCs w:val="18"/>
              </w:rPr>
              <w:lastRenderedPageBreak/>
              <w:t>值</w:t>
            </w:r>
          </w:p>
        </w:tc>
      </w:tr>
      <w:tr w:rsidR="0080594E">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按组合计提坏账准备的应收账款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100,001,389.72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4,557,691.95</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4.56%</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95,443,697.77</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101,933,458.01</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4,943,157.58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4.85%</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96,990,300.43</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组合2应收其他客户</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100,001,389.72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4,557,691.95</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4.56%</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95,443,697.77</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101,933,458.01</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4,943,157.58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4.85%</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96,990,300.43</w:t>
            </w:r>
          </w:p>
        </w:tc>
      </w:tr>
      <w:tr w:rsidR="0080594E">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100,001,389.72</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4,557,691.95</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4.56%</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95,443,697.77</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101,933,458.01</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4,943,157.58</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4.85%</w:t>
            </w:r>
          </w:p>
        </w:tc>
        <w:tc>
          <w:tcPr>
            <w:tcW w:w="87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96,990,300.43</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按组合计提坏账准备：组合2应收其他客户</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99,840,148.15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4,472,886.90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1-2年</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15,054.23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5,710.28</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37.93%</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2-3年</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28,401.34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21,124.86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74.38%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3-4年</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117,786.00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57,969.91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49.22%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100,001,389.72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4,557,691.95</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确定该组合依据的说明：</w:t>
      </w:r>
    </w:p>
    <w:p w:rsidR="0080594E" w:rsidRDefault="0080594E"/>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如是按照预期信用损失一般模型计提应收账款坏账准备，请参照其他应收款的披露方式披露坏账准备的相关信息：</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按账龄披露</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99,840,148.15</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15,054.23</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28,401.34</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117,786.00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3至4年</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117,786.00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100,001,389.72</w:t>
            </w:r>
          </w:p>
        </w:tc>
      </w:tr>
    </w:tbl>
    <w:p w:rsidR="0080594E" w:rsidRDefault="000C39A3">
      <w:pPr>
        <w:keepNext/>
        <w:keepLines/>
        <w:spacing w:before="300" w:after="300" w:line="280" w:lineRule="exact"/>
        <w:outlineLvl w:val="3"/>
        <w:rPr>
          <w:rFonts w:ascii="宋体" w:eastAsia="宋体" w:hAnsi="宋体" w:cs="宋体"/>
          <w:b/>
          <w:bCs/>
          <w:szCs w:val="21"/>
        </w:rPr>
      </w:pPr>
      <w:bookmarkStart w:id="213" w:name="_Toc989103"/>
      <w:r>
        <w:rPr>
          <w:rFonts w:ascii="宋体" w:eastAsia="宋体" w:hAnsi="宋体" w:cs="宋体"/>
          <w:b/>
          <w:bCs/>
          <w:szCs w:val="21"/>
        </w:rPr>
        <w:t>（2） 本期计提、收回或转回的坏账准备情况</w:t>
      </w:r>
      <w:bookmarkEnd w:id="213"/>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本期计提坏账准备情况：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应收账款</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4,943,157.58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-385,465.63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4,557,691.95</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4,943,157.58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-385,465.63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4,557,691.95</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其中本期坏账准备收回或转回金额重要的：</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收回方式</w:t>
            </w:r>
          </w:p>
        </w:tc>
      </w:tr>
    </w:tbl>
    <w:p w:rsidR="0080594E" w:rsidRDefault="0080594E">
      <w:pPr>
        <w:spacing w:before="100" w:after="100" w:line="0" w:lineRule="atLeast"/>
      </w:pPr>
    </w:p>
    <w:p w:rsidR="000C39A3" w:rsidRDefault="000C39A3">
      <w:pPr>
        <w:pStyle w:val="a4"/>
        <w:divId w:val="1920095089"/>
        <w:rPr>
          <w:sz w:val="18"/>
          <w:szCs w:val="18"/>
        </w:rPr>
      </w:pPr>
      <w:r>
        <w:rPr>
          <w:rFonts w:hint="eastAsia"/>
          <w:sz w:val="18"/>
          <w:szCs w:val="18"/>
        </w:rPr>
        <w:t>无</w:t>
      </w:r>
    </w:p>
    <w:p w:rsidR="0080594E" w:rsidRDefault="000C39A3">
      <w:pPr>
        <w:keepNext/>
        <w:keepLines/>
        <w:spacing w:before="300" w:after="300" w:line="280" w:lineRule="exact"/>
        <w:outlineLvl w:val="3"/>
        <w:rPr>
          <w:rFonts w:ascii="宋体" w:eastAsia="宋体" w:hAnsi="宋体" w:cs="宋体"/>
          <w:b/>
          <w:bCs/>
          <w:szCs w:val="21"/>
        </w:rPr>
      </w:pPr>
      <w:bookmarkStart w:id="214" w:name="_Toc989104"/>
      <w:r>
        <w:rPr>
          <w:rFonts w:ascii="宋体" w:eastAsia="宋体" w:hAnsi="宋体" w:cs="宋体"/>
          <w:b/>
          <w:bCs/>
          <w:szCs w:val="21"/>
        </w:rPr>
        <w:t>（3） 本期实际核销的应收账款情况</w:t>
      </w:r>
      <w:bookmarkEnd w:id="21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其中重要的应收账款核销情况：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核销原因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履行的核销程序</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款项是否由关联交易产生</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应收账款核销说明：</w:t>
      </w:r>
    </w:p>
    <w:p w:rsidR="000C39A3" w:rsidRDefault="000C39A3">
      <w:pPr>
        <w:pStyle w:val="a4"/>
        <w:divId w:val="822045910"/>
        <w:rPr>
          <w:sz w:val="18"/>
          <w:szCs w:val="18"/>
        </w:rPr>
      </w:pPr>
      <w:r>
        <w:rPr>
          <w:rFonts w:hint="eastAsia"/>
          <w:sz w:val="18"/>
          <w:szCs w:val="18"/>
        </w:rPr>
        <w:t>无</w:t>
      </w:r>
    </w:p>
    <w:p w:rsidR="0080594E" w:rsidRDefault="000C39A3">
      <w:pPr>
        <w:keepNext/>
        <w:keepLines/>
        <w:spacing w:before="300" w:after="300" w:line="280" w:lineRule="exact"/>
        <w:outlineLvl w:val="3"/>
        <w:rPr>
          <w:rFonts w:ascii="宋体" w:eastAsia="宋体" w:hAnsi="宋体" w:cs="宋体"/>
          <w:b/>
          <w:bCs/>
          <w:szCs w:val="21"/>
        </w:rPr>
      </w:pPr>
      <w:bookmarkStart w:id="215" w:name="_Toc989105"/>
      <w:r>
        <w:rPr>
          <w:rFonts w:ascii="宋体" w:eastAsia="宋体" w:hAnsi="宋体" w:cs="宋体"/>
          <w:b/>
          <w:bCs/>
          <w:szCs w:val="21"/>
        </w:rPr>
        <w:t>（4） 按欠款方归集的期末余额前五名的应收账款情况</w:t>
      </w:r>
      <w:bookmarkEnd w:id="21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应收账款期末余额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占应收账款期末余额合计数的比例</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坏账准备期末余额</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第一名</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5,788,339.05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5.79%</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259,317.59</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第二名</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5,220,715.64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233,888.06</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第三名</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4,650,087.88</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208,323.94</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第四名</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4,129,281.19</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184,991.80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第五名</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4,016,670.76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179,946.85</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23,805,094.52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23.81%</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pPr>
        <w:keepNext/>
        <w:keepLines/>
        <w:spacing w:before="300" w:after="300" w:line="280" w:lineRule="exact"/>
        <w:outlineLvl w:val="3"/>
        <w:rPr>
          <w:rFonts w:ascii="宋体" w:eastAsia="宋体" w:hAnsi="宋体" w:cs="宋体"/>
          <w:b/>
          <w:bCs/>
          <w:szCs w:val="21"/>
        </w:rPr>
      </w:pPr>
      <w:bookmarkStart w:id="216" w:name="_Toc989106"/>
      <w:r>
        <w:rPr>
          <w:rFonts w:ascii="宋体" w:eastAsia="宋体" w:hAnsi="宋体" w:cs="宋体"/>
          <w:b/>
          <w:bCs/>
          <w:szCs w:val="21"/>
        </w:rPr>
        <w:t>（5） 因金融资产转移而终止确认的应收账款</w:t>
      </w:r>
      <w:bookmarkEnd w:id="216"/>
    </w:p>
    <w:p w:rsidR="000C39A3" w:rsidRDefault="000C39A3">
      <w:pPr>
        <w:pStyle w:val="a4"/>
        <w:divId w:val="1934048354"/>
        <w:rPr>
          <w:sz w:val="18"/>
          <w:szCs w:val="18"/>
        </w:rPr>
      </w:pPr>
      <w:r>
        <w:rPr>
          <w:rFonts w:hint="eastAsia"/>
        </w:rPr>
        <w:t>本期无因金融资产转移而终止确认的应收账款。</w:t>
      </w:r>
    </w:p>
    <w:p w:rsidR="0080594E" w:rsidRDefault="000C39A3">
      <w:pPr>
        <w:keepNext/>
        <w:keepLines/>
        <w:spacing w:before="300" w:after="300" w:line="280" w:lineRule="exact"/>
        <w:outlineLvl w:val="3"/>
        <w:rPr>
          <w:rFonts w:ascii="宋体" w:eastAsia="宋体" w:hAnsi="宋体" w:cs="宋体"/>
          <w:b/>
          <w:bCs/>
          <w:szCs w:val="21"/>
        </w:rPr>
      </w:pPr>
      <w:bookmarkStart w:id="217" w:name="_Toc989107"/>
      <w:r>
        <w:rPr>
          <w:rFonts w:ascii="宋体" w:eastAsia="宋体" w:hAnsi="宋体" w:cs="宋体"/>
          <w:b/>
          <w:bCs/>
          <w:szCs w:val="21"/>
        </w:rPr>
        <w:t>（6） 转移应收账款且继续涉入形成的资产、负债金额</w:t>
      </w:r>
      <w:bookmarkEnd w:id="217"/>
    </w:p>
    <w:p w:rsidR="000C39A3" w:rsidRDefault="000C39A3">
      <w:pPr>
        <w:pStyle w:val="a4"/>
        <w:divId w:val="597523683"/>
        <w:rPr>
          <w:sz w:val="18"/>
          <w:szCs w:val="18"/>
        </w:rPr>
      </w:pPr>
      <w:r>
        <w:rPr>
          <w:rFonts w:hint="eastAsia"/>
        </w:rPr>
        <w:t>本期无因转移应收账款且继续涉入形成的资产、负债金额。</w:t>
      </w:r>
    </w:p>
    <w:p w:rsidR="0080594E" w:rsidRDefault="000C39A3" w:rsidP="008071B9">
      <w:pPr>
        <w:spacing w:before="100" w:after="100" w:line="240" w:lineRule="exact"/>
      </w:pPr>
      <w:r>
        <w:rPr>
          <w:rFonts w:ascii="宋体" w:eastAsia="宋体" w:hAnsi="宋体" w:cs="宋体"/>
          <w:sz w:val="18"/>
          <w:szCs w:val="18"/>
        </w:rPr>
        <w:t>其他说明：</w:t>
      </w:r>
      <w:r w:rsidR="00AD2B0D">
        <w:rPr>
          <w:rFonts w:hint="eastAsia"/>
        </w:rPr>
        <w:t>无</w:t>
      </w:r>
    </w:p>
    <w:p w:rsidR="0080594E" w:rsidRDefault="000C39A3">
      <w:pPr>
        <w:pStyle w:val="3"/>
        <w:spacing w:line="280" w:lineRule="exact"/>
        <w:jc w:val="left"/>
        <w:rPr>
          <w:rFonts w:ascii="宋体" w:hAnsi="宋体" w:cs="宋体"/>
          <w:b/>
          <w:bCs/>
        </w:rPr>
      </w:pPr>
      <w:bookmarkStart w:id="218" w:name="_Toc989108"/>
      <w:r>
        <w:rPr>
          <w:rFonts w:ascii="宋体" w:hAnsi="宋体" w:cs="宋体"/>
          <w:b/>
          <w:bCs/>
        </w:rPr>
        <w:t>4、应收款项融资</w:t>
      </w:r>
      <w:bookmarkEnd w:id="21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信用等级较高的银行承兑汇票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16,291,754.21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16,291,754.21</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应收款项融资本期增减变动及公允价值变动情况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如是按照预期信用损失一般模型计提应收款项融资减值准备，请参照其他应收款的披露方式披露减值准备的相关信息：</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spacing w:before="120" w:beforeAutospacing="0" w:after="0" w:afterAutospacing="0" w:line="360" w:lineRule="auto"/>
        <w:ind w:firstLine="480"/>
        <w:jc w:val="both"/>
        <w:divId w:val="1309045153"/>
        <w:rPr>
          <w:rFonts w:ascii="Times New Roman" w:hAnsi="Times New Roman" w:cs="Times New Roman"/>
          <w:sz w:val="21"/>
          <w:szCs w:val="21"/>
        </w:rPr>
      </w:pPr>
      <w:r>
        <w:rPr>
          <w:rFonts w:cs="Times New Roman" w:hint="eastAsia"/>
          <w:color w:val="000000"/>
        </w:rPr>
        <w:t>（1）本公司视日常资金管理需要，将银行承兑汇票进行背书，本公司管理银行承兑汇票的业务模式包括以收取合同现金流量为目标又包括以出售为目标，因此本公司将持有的信用等级较高银行承兑的银行承兑汇票在本项目列报。</w:t>
      </w:r>
    </w:p>
    <w:p w:rsidR="000C39A3" w:rsidRDefault="000C39A3">
      <w:pPr>
        <w:pStyle w:val="a4"/>
        <w:spacing w:before="120" w:beforeAutospacing="0" w:after="0" w:afterAutospacing="0" w:line="360" w:lineRule="auto"/>
        <w:ind w:firstLine="480"/>
        <w:jc w:val="both"/>
        <w:divId w:val="1309045153"/>
        <w:rPr>
          <w:rFonts w:ascii="Times New Roman" w:hAnsi="Times New Roman" w:cs="Times New Roman"/>
          <w:sz w:val="21"/>
          <w:szCs w:val="21"/>
        </w:rPr>
      </w:pPr>
      <w:r>
        <w:rPr>
          <w:rFonts w:cs="Times New Roman" w:hint="eastAsia"/>
          <w:color w:val="000000"/>
        </w:rPr>
        <w:t>截至</w:t>
      </w:r>
      <w:r>
        <w:rPr>
          <w:rFonts w:ascii="Times New Roman" w:hAnsi="Times New Roman" w:cs="Times New Roman"/>
          <w:color w:val="000000"/>
        </w:rPr>
        <w:t>2022</w:t>
      </w:r>
      <w:r>
        <w:rPr>
          <w:rFonts w:cs="Times New Roman" w:hint="eastAsia"/>
          <w:color w:val="000000"/>
        </w:rPr>
        <w:t>年</w:t>
      </w:r>
      <w:r>
        <w:rPr>
          <w:rFonts w:ascii="Times New Roman" w:hAnsi="Times New Roman" w:cs="Times New Roman"/>
          <w:color w:val="000000"/>
        </w:rPr>
        <w:t>12</w:t>
      </w:r>
      <w:r>
        <w:rPr>
          <w:rFonts w:cs="Times New Roman" w:hint="eastAsia"/>
          <w:color w:val="000000"/>
        </w:rPr>
        <w:t>月</w:t>
      </w:r>
      <w:r>
        <w:rPr>
          <w:rFonts w:ascii="Times New Roman" w:hAnsi="Times New Roman" w:cs="Times New Roman"/>
          <w:color w:val="000000"/>
        </w:rPr>
        <w:t>31</w:t>
      </w:r>
      <w:r>
        <w:rPr>
          <w:rFonts w:cs="Times New Roman" w:hint="eastAsia"/>
          <w:color w:val="000000"/>
        </w:rPr>
        <w:t>日，本公司已背书未到期并终止确认的信用等级较高银行承兑的银行承兑汇票为</w:t>
      </w:r>
      <w:r>
        <w:rPr>
          <w:rFonts w:ascii="Times New Roman" w:hAnsi="Times New Roman" w:cs="Times New Roman"/>
          <w:color w:val="000000"/>
        </w:rPr>
        <w:t>25,729,088.75</w:t>
      </w:r>
      <w:r>
        <w:rPr>
          <w:rFonts w:cs="Times New Roman" w:hint="eastAsia"/>
          <w:color w:val="000000"/>
        </w:rPr>
        <w:t>元。</w:t>
      </w:r>
    </w:p>
    <w:p w:rsidR="000C39A3" w:rsidRDefault="000C39A3">
      <w:pPr>
        <w:pStyle w:val="a4"/>
        <w:spacing w:before="120" w:beforeAutospacing="0" w:after="0" w:afterAutospacing="0" w:line="360" w:lineRule="auto"/>
        <w:ind w:left="480"/>
        <w:jc w:val="both"/>
        <w:divId w:val="1309045153"/>
        <w:rPr>
          <w:rFonts w:ascii="Times New Roman" w:hAnsi="Times New Roman" w:cs="Times New Roman"/>
          <w:sz w:val="21"/>
          <w:szCs w:val="21"/>
        </w:rPr>
      </w:pPr>
      <w:r>
        <w:rPr>
          <w:rFonts w:cs="Times New Roman" w:hint="eastAsia"/>
        </w:rPr>
        <w:t>（</w:t>
      </w:r>
      <w:r>
        <w:rPr>
          <w:rFonts w:ascii="Times New Roman" w:hAnsi="Times New Roman" w:cs="Times New Roman"/>
        </w:rPr>
        <w:t>2</w:t>
      </w:r>
      <w:r>
        <w:rPr>
          <w:rFonts w:cs="Times New Roman" w:hint="eastAsia"/>
        </w:rPr>
        <w:t>）应收票据按减值计提方法分类披露</w:t>
      </w:r>
    </w:p>
    <w:p w:rsidR="000C39A3" w:rsidRDefault="000C39A3">
      <w:pPr>
        <w:pStyle w:val="a4"/>
        <w:spacing w:before="120" w:beforeAutospacing="0" w:after="0" w:afterAutospacing="0" w:line="360" w:lineRule="auto"/>
        <w:ind w:firstLine="480"/>
        <w:jc w:val="both"/>
        <w:divId w:val="1309045153"/>
        <w:rPr>
          <w:rFonts w:ascii="Times New Roman" w:hAnsi="Times New Roman" w:cs="Times New Roman"/>
          <w:sz w:val="21"/>
          <w:szCs w:val="21"/>
        </w:rPr>
      </w:pPr>
      <w:r>
        <w:rPr>
          <w:rFonts w:cs="Times New Roman" w:hint="eastAsia"/>
          <w:color w:val="000000"/>
        </w:rPr>
        <w:t>本公司所持有的由信用等级较高银行承兑的银行承兑汇票，信用风险和延期付款风险很小，可以判断票据不存在减值风险，故未计提减值准备。</w:t>
      </w:r>
    </w:p>
    <w:p w:rsidR="0080594E" w:rsidRDefault="000C39A3">
      <w:pPr>
        <w:pStyle w:val="3"/>
        <w:spacing w:line="280" w:lineRule="exact"/>
        <w:jc w:val="left"/>
        <w:rPr>
          <w:rFonts w:ascii="宋体" w:hAnsi="宋体" w:cs="宋体"/>
          <w:b/>
          <w:bCs/>
        </w:rPr>
      </w:pPr>
      <w:bookmarkStart w:id="219" w:name="_Toc989109"/>
      <w:r>
        <w:rPr>
          <w:rFonts w:ascii="宋体" w:hAnsi="宋体" w:cs="宋体"/>
          <w:b/>
          <w:bCs/>
        </w:rPr>
        <w:t>5、预付款项</w:t>
      </w:r>
      <w:bookmarkEnd w:id="219"/>
    </w:p>
    <w:p w:rsidR="0080594E" w:rsidRDefault="000C39A3">
      <w:pPr>
        <w:keepNext/>
        <w:keepLines/>
        <w:spacing w:before="300" w:after="300" w:line="280" w:lineRule="exact"/>
        <w:outlineLvl w:val="3"/>
        <w:rPr>
          <w:rFonts w:ascii="宋体" w:eastAsia="宋体" w:hAnsi="宋体" w:cs="宋体"/>
          <w:b/>
          <w:bCs/>
          <w:szCs w:val="21"/>
        </w:rPr>
      </w:pPr>
      <w:bookmarkStart w:id="220" w:name="_Toc989110"/>
      <w:r>
        <w:rPr>
          <w:rFonts w:ascii="宋体" w:eastAsia="宋体" w:hAnsi="宋体" w:cs="宋体"/>
          <w:b/>
          <w:bCs/>
          <w:szCs w:val="21"/>
        </w:rPr>
        <w:t>（1） 预付款项按账龄列示</w:t>
      </w:r>
      <w:bookmarkEnd w:id="22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1年以内</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4,080,399.73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968,288.66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4,080,399.73</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968,288.66</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rsidP="008071B9">
      <w:pPr>
        <w:spacing w:before="100" w:after="100" w:line="240" w:lineRule="exact"/>
      </w:pPr>
      <w:r>
        <w:rPr>
          <w:rFonts w:ascii="宋体" w:eastAsia="宋体" w:hAnsi="宋体" w:cs="宋体"/>
          <w:sz w:val="18"/>
          <w:szCs w:val="18"/>
        </w:rPr>
        <w:t>账龄超过1年且金额重要的预付款项未及时结算原因的说明：</w:t>
      </w:r>
    </w:p>
    <w:p w:rsidR="0080594E" w:rsidRDefault="000C39A3">
      <w:pPr>
        <w:keepNext/>
        <w:keepLines/>
        <w:spacing w:before="300" w:after="300" w:line="280" w:lineRule="exact"/>
        <w:outlineLvl w:val="3"/>
        <w:rPr>
          <w:rFonts w:ascii="宋体" w:eastAsia="宋体" w:hAnsi="宋体" w:cs="宋体"/>
          <w:b/>
          <w:bCs/>
          <w:szCs w:val="21"/>
        </w:rPr>
      </w:pPr>
      <w:bookmarkStart w:id="221" w:name="_Toc989111"/>
      <w:r>
        <w:rPr>
          <w:rFonts w:ascii="宋体" w:eastAsia="宋体" w:hAnsi="宋体" w:cs="宋体"/>
          <w:b/>
          <w:bCs/>
          <w:szCs w:val="21"/>
        </w:rPr>
        <w:t>（2） 按预付对象归集的期末余额前五名的预付款情况</w:t>
      </w:r>
      <w:bookmarkEnd w:id="221"/>
    </w:p>
    <w:tbl>
      <w:tblPr>
        <w:tblW w:w="8844" w:type="dxa"/>
        <w:jc w:val="center"/>
        <w:tblCellMar>
          <w:left w:w="0" w:type="dxa"/>
          <w:right w:w="0" w:type="dxa"/>
        </w:tblCellMar>
        <w:tblLook w:val="04A0" w:firstRow="1" w:lastRow="0" w:firstColumn="1" w:lastColumn="0" w:noHBand="0" w:noVBand="1"/>
      </w:tblPr>
      <w:tblGrid>
        <w:gridCol w:w="3758"/>
        <w:gridCol w:w="2689"/>
        <w:gridCol w:w="2397"/>
      </w:tblGrid>
      <w:tr w:rsidR="000C39A3">
        <w:trPr>
          <w:divId w:val="1588612574"/>
          <w:trHeight w:val="369"/>
          <w:tblHeader/>
          <w:jc w:val="center"/>
        </w:trPr>
        <w:tc>
          <w:tcPr>
            <w:tcW w:w="2125" w:type="pct"/>
            <w:tcBorders>
              <w:top w:val="single" w:sz="8" w:space="0" w:color="auto"/>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cs="Times New Roman" w:hint="eastAsia"/>
                <w:sz w:val="21"/>
                <w:szCs w:val="21"/>
              </w:rPr>
              <w:t>单位名称</w:t>
            </w:r>
          </w:p>
        </w:tc>
        <w:tc>
          <w:tcPr>
            <w:tcW w:w="1520"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2022</w:t>
            </w:r>
            <w:r>
              <w:rPr>
                <w:rFonts w:cs="Times New Roman" w:hint="eastAsia"/>
                <w:sz w:val="21"/>
                <w:szCs w:val="21"/>
              </w:rPr>
              <w:t>年</w:t>
            </w:r>
            <w:r>
              <w:rPr>
                <w:rFonts w:ascii="Times New Roman" w:hAnsi="Times New Roman" w:cs="Times New Roman"/>
                <w:sz w:val="21"/>
                <w:szCs w:val="21"/>
              </w:rPr>
              <w:t>12</w:t>
            </w:r>
            <w:r>
              <w:rPr>
                <w:rFonts w:cs="Times New Roman" w:hint="eastAsia"/>
                <w:sz w:val="21"/>
                <w:szCs w:val="21"/>
              </w:rPr>
              <w:t>月</w:t>
            </w:r>
            <w:r>
              <w:rPr>
                <w:rFonts w:ascii="Times New Roman" w:hAnsi="Times New Roman" w:cs="Times New Roman"/>
                <w:sz w:val="21"/>
                <w:szCs w:val="21"/>
              </w:rPr>
              <w:t>31</w:t>
            </w:r>
            <w:r>
              <w:rPr>
                <w:rFonts w:cs="Times New Roman" w:hint="eastAsia"/>
                <w:sz w:val="21"/>
                <w:szCs w:val="21"/>
              </w:rPr>
              <w:t>日余额</w:t>
            </w:r>
          </w:p>
        </w:tc>
        <w:tc>
          <w:tcPr>
            <w:tcW w:w="1355" w:type="pct"/>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cs="Times New Roman" w:hint="eastAsia"/>
                <w:sz w:val="21"/>
                <w:szCs w:val="21"/>
              </w:rPr>
              <w:t>占预付款项期末余额合计数的比例</w:t>
            </w:r>
            <w:r>
              <w:rPr>
                <w:rFonts w:ascii="Times New Roman" w:hAnsi="Times New Roman" w:cs="Times New Roman"/>
                <w:sz w:val="21"/>
                <w:szCs w:val="21"/>
              </w:rPr>
              <w:t>(%)</w:t>
            </w:r>
          </w:p>
        </w:tc>
      </w:tr>
      <w:tr w:rsidR="000C39A3">
        <w:trPr>
          <w:divId w:val="1588612574"/>
          <w:trHeight w:val="369"/>
          <w:jc w:val="center"/>
        </w:trPr>
        <w:tc>
          <w:tcPr>
            <w:tcW w:w="2125"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第一名</w:t>
            </w:r>
          </w:p>
        </w:tc>
        <w:tc>
          <w:tcPr>
            <w:tcW w:w="1520"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2,023,869.96</w:t>
            </w:r>
          </w:p>
        </w:tc>
        <w:tc>
          <w:tcPr>
            <w:tcW w:w="1355"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49.60</w:t>
            </w:r>
          </w:p>
        </w:tc>
      </w:tr>
      <w:tr w:rsidR="000C39A3">
        <w:trPr>
          <w:divId w:val="1588612574"/>
          <w:trHeight w:val="369"/>
          <w:jc w:val="center"/>
        </w:trPr>
        <w:tc>
          <w:tcPr>
            <w:tcW w:w="2125"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第二名</w:t>
            </w:r>
          </w:p>
        </w:tc>
        <w:tc>
          <w:tcPr>
            <w:tcW w:w="1520"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1,233,562.60</w:t>
            </w:r>
          </w:p>
        </w:tc>
        <w:tc>
          <w:tcPr>
            <w:tcW w:w="1355"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30.23</w:t>
            </w:r>
          </w:p>
        </w:tc>
      </w:tr>
      <w:tr w:rsidR="000C39A3">
        <w:trPr>
          <w:divId w:val="1588612574"/>
          <w:trHeight w:val="369"/>
          <w:jc w:val="center"/>
        </w:trPr>
        <w:tc>
          <w:tcPr>
            <w:tcW w:w="2125"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第三名</w:t>
            </w:r>
          </w:p>
        </w:tc>
        <w:tc>
          <w:tcPr>
            <w:tcW w:w="1520"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226,441.41</w:t>
            </w:r>
          </w:p>
        </w:tc>
        <w:tc>
          <w:tcPr>
            <w:tcW w:w="1355"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5.55</w:t>
            </w:r>
          </w:p>
        </w:tc>
      </w:tr>
      <w:tr w:rsidR="000C39A3">
        <w:trPr>
          <w:divId w:val="1588612574"/>
          <w:trHeight w:val="369"/>
          <w:jc w:val="center"/>
        </w:trPr>
        <w:tc>
          <w:tcPr>
            <w:tcW w:w="2125"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第四名</w:t>
            </w:r>
          </w:p>
        </w:tc>
        <w:tc>
          <w:tcPr>
            <w:tcW w:w="1520"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72,320.00</w:t>
            </w:r>
          </w:p>
        </w:tc>
        <w:tc>
          <w:tcPr>
            <w:tcW w:w="1355"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1.77</w:t>
            </w:r>
          </w:p>
        </w:tc>
      </w:tr>
      <w:tr w:rsidR="000C39A3">
        <w:trPr>
          <w:divId w:val="1588612574"/>
          <w:trHeight w:val="369"/>
          <w:jc w:val="center"/>
        </w:trPr>
        <w:tc>
          <w:tcPr>
            <w:tcW w:w="2125"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第五名</w:t>
            </w:r>
          </w:p>
        </w:tc>
        <w:tc>
          <w:tcPr>
            <w:tcW w:w="1520"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72,000.00</w:t>
            </w:r>
          </w:p>
        </w:tc>
        <w:tc>
          <w:tcPr>
            <w:tcW w:w="1355"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1.76</w:t>
            </w:r>
          </w:p>
        </w:tc>
      </w:tr>
      <w:tr w:rsidR="000C39A3">
        <w:trPr>
          <w:divId w:val="1588612574"/>
          <w:trHeight w:val="369"/>
          <w:jc w:val="center"/>
        </w:trPr>
        <w:tc>
          <w:tcPr>
            <w:tcW w:w="2125"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cs="Times New Roman" w:hint="eastAsia"/>
                <w:sz w:val="21"/>
                <w:szCs w:val="21"/>
              </w:rPr>
              <w:t>合计</w:t>
            </w:r>
          </w:p>
        </w:tc>
        <w:tc>
          <w:tcPr>
            <w:tcW w:w="1520"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3,628,193.97</w:t>
            </w:r>
          </w:p>
        </w:tc>
        <w:tc>
          <w:tcPr>
            <w:tcW w:w="1355"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88.91</w:t>
            </w:r>
          </w:p>
        </w:tc>
      </w:tr>
    </w:tbl>
    <w:p w:rsidR="000C39A3" w:rsidRDefault="000C39A3">
      <w:pPr>
        <w:divId w:val="1588612574"/>
      </w:pPr>
    </w:p>
    <w:p w:rsidR="0080594E" w:rsidRDefault="000C39A3" w:rsidP="008071B9">
      <w:pPr>
        <w:spacing w:before="100" w:after="100" w:line="240" w:lineRule="exact"/>
      </w:pPr>
      <w:r>
        <w:rPr>
          <w:rFonts w:ascii="宋体" w:eastAsia="宋体" w:hAnsi="宋体" w:cs="宋体"/>
          <w:sz w:val="18"/>
          <w:szCs w:val="18"/>
        </w:rPr>
        <w:t>其他说明：</w:t>
      </w:r>
      <w:r w:rsidR="00DE514C">
        <w:rPr>
          <w:rFonts w:ascii="宋体" w:eastAsia="宋体" w:hAnsi="宋体" w:cs="宋体" w:hint="eastAsia"/>
          <w:sz w:val="18"/>
          <w:szCs w:val="18"/>
        </w:rPr>
        <w:t>无</w:t>
      </w:r>
    </w:p>
    <w:p w:rsidR="0080594E" w:rsidRDefault="000C39A3">
      <w:pPr>
        <w:pStyle w:val="3"/>
        <w:spacing w:line="280" w:lineRule="exact"/>
        <w:jc w:val="left"/>
        <w:rPr>
          <w:rFonts w:ascii="宋体" w:hAnsi="宋体" w:cs="宋体"/>
          <w:b/>
          <w:bCs/>
        </w:rPr>
      </w:pPr>
      <w:bookmarkStart w:id="222" w:name="_Toc989112"/>
      <w:r>
        <w:rPr>
          <w:rFonts w:ascii="宋体" w:hAnsi="宋体" w:cs="宋体"/>
          <w:b/>
          <w:bCs/>
        </w:rPr>
        <w:t>6、其他应收款</w:t>
      </w:r>
      <w:bookmarkEnd w:id="22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496,223.68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555,372.25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496,223.68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555,372.25</w:t>
            </w:r>
          </w:p>
        </w:tc>
      </w:tr>
    </w:tbl>
    <w:p w:rsidR="0080594E" w:rsidRDefault="000C39A3">
      <w:pPr>
        <w:keepNext/>
        <w:keepLines/>
        <w:spacing w:before="300" w:after="300" w:line="280" w:lineRule="exact"/>
        <w:outlineLvl w:val="3"/>
        <w:rPr>
          <w:rFonts w:ascii="宋体" w:eastAsia="宋体" w:hAnsi="宋体" w:cs="宋体"/>
          <w:b/>
          <w:bCs/>
          <w:szCs w:val="21"/>
        </w:rPr>
      </w:pPr>
      <w:bookmarkStart w:id="223" w:name="_Toc989113"/>
      <w:r>
        <w:rPr>
          <w:rFonts w:ascii="宋体" w:eastAsia="宋体" w:hAnsi="宋体" w:cs="宋体"/>
          <w:b/>
          <w:bCs/>
          <w:szCs w:val="21"/>
        </w:rPr>
        <w:t>（1） 其他应收款</w:t>
      </w:r>
      <w:bookmarkEnd w:id="223"/>
    </w:p>
    <w:p w:rsidR="0080594E" w:rsidRDefault="000C39A3">
      <w:pPr>
        <w:keepNext/>
        <w:keepLines/>
        <w:spacing w:before="300" w:after="300" w:line="280" w:lineRule="exact"/>
        <w:outlineLvl w:val="4"/>
        <w:rPr>
          <w:rFonts w:ascii="宋体" w:eastAsia="宋体" w:hAnsi="宋体" w:cs="宋体"/>
          <w:b/>
          <w:bCs/>
          <w:szCs w:val="21"/>
        </w:rPr>
      </w:pPr>
      <w:bookmarkStart w:id="224" w:name="_Toc989114"/>
      <w:r>
        <w:rPr>
          <w:rFonts w:ascii="宋体" w:eastAsia="宋体" w:hAnsi="宋体" w:cs="宋体"/>
          <w:b/>
          <w:bCs/>
          <w:szCs w:val="21"/>
        </w:rPr>
        <w:t>1） 其他应收款按款项性质分类情况</w:t>
      </w:r>
      <w:bookmarkEnd w:id="22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代垫款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383,106.00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533,695.96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133,000.00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44,237.50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备用金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6,606.26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6,668.91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522,712.26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584,602.37</w:t>
            </w:r>
          </w:p>
        </w:tc>
      </w:tr>
    </w:tbl>
    <w:p w:rsidR="0080594E" w:rsidRDefault="000C39A3">
      <w:pPr>
        <w:keepNext/>
        <w:keepLines/>
        <w:spacing w:before="300" w:after="300" w:line="280" w:lineRule="exact"/>
        <w:outlineLvl w:val="4"/>
        <w:rPr>
          <w:rFonts w:ascii="宋体" w:eastAsia="宋体" w:hAnsi="宋体" w:cs="宋体"/>
          <w:b/>
          <w:bCs/>
          <w:szCs w:val="21"/>
        </w:rPr>
      </w:pPr>
      <w:bookmarkStart w:id="225" w:name="_Toc989115"/>
      <w:r>
        <w:rPr>
          <w:rFonts w:ascii="宋体" w:eastAsia="宋体" w:hAnsi="宋体" w:cs="宋体"/>
          <w:b/>
          <w:bCs/>
          <w:szCs w:val="21"/>
        </w:rPr>
        <w:t>2） 坏账准备计提情况</w:t>
      </w:r>
      <w:bookmarkEnd w:id="22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第一阶段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第二阶段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第三阶段</w:t>
            </w:r>
          </w:p>
        </w:tc>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80594E">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未来12个月预期信用损失</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整个存续期预期信用损失(未发生信用减值)</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整个存续期预期信用损失(已发生信用减值)</w:t>
            </w:r>
          </w:p>
        </w:tc>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2022年1月1日余额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29,230.12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29,230.12</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2022年1月1日余额在本期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本期计提</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-2,741.54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-2,741.54</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2022年12月31日余额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26,488.58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26,488.58</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损失准备本期变动金额重大的账面余额变动情况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按账龄披露</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515,653.00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7,059.26</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522,712.26</w:t>
            </w:r>
          </w:p>
        </w:tc>
      </w:tr>
    </w:tbl>
    <w:p w:rsidR="0080594E" w:rsidRDefault="000C39A3">
      <w:pPr>
        <w:keepNext/>
        <w:keepLines/>
        <w:spacing w:before="300" w:after="300" w:line="280" w:lineRule="exact"/>
        <w:outlineLvl w:val="4"/>
        <w:rPr>
          <w:rFonts w:ascii="宋体" w:eastAsia="宋体" w:hAnsi="宋体" w:cs="宋体"/>
          <w:b/>
          <w:bCs/>
          <w:szCs w:val="21"/>
        </w:rPr>
      </w:pPr>
      <w:bookmarkStart w:id="226" w:name="_Toc989116"/>
      <w:r>
        <w:rPr>
          <w:rFonts w:ascii="宋体" w:eastAsia="宋体" w:hAnsi="宋体" w:cs="宋体"/>
          <w:b/>
          <w:bCs/>
          <w:szCs w:val="21"/>
        </w:rPr>
        <w:t>3） 本期计提、收回或转回的坏账准备情况</w:t>
      </w:r>
      <w:bookmarkEnd w:id="226"/>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本期计提坏账准备情况：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lastRenderedPageBreak/>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组合2应收其他往来</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29,230.12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-2,741.54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26,488.58</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29,230.12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-2,741.54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26,488.58</w:t>
            </w:r>
          </w:p>
        </w:tc>
      </w:tr>
    </w:tbl>
    <w:p w:rsidR="0080594E" w:rsidRDefault="0080594E">
      <w:pPr>
        <w:spacing w:before="100" w:after="100" w:line="0" w:lineRule="atLeast"/>
      </w:pPr>
    </w:p>
    <w:p w:rsidR="0080594E" w:rsidRDefault="0080594E"/>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其中本期坏账准备转回或收回金额重要的：</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转回或收回金额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收回方式</w:t>
            </w:r>
          </w:p>
        </w:tc>
      </w:tr>
    </w:tbl>
    <w:p w:rsidR="0080594E" w:rsidRDefault="0080594E">
      <w:pPr>
        <w:spacing w:before="100" w:after="100" w:line="0" w:lineRule="atLeast"/>
      </w:pPr>
    </w:p>
    <w:p w:rsidR="0080594E" w:rsidRDefault="0080594E"/>
    <w:p w:rsidR="0080594E" w:rsidRDefault="000C39A3">
      <w:pPr>
        <w:keepNext/>
        <w:keepLines/>
        <w:spacing w:before="300" w:after="300" w:line="280" w:lineRule="exact"/>
        <w:outlineLvl w:val="4"/>
        <w:rPr>
          <w:rFonts w:ascii="宋体" w:eastAsia="宋体" w:hAnsi="宋体" w:cs="宋体"/>
          <w:b/>
          <w:bCs/>
          <w:szCs w:val="21"/>
        </w:rPr>
      </w:pPr>
      <w:bookmarkStart w:id="227" w:name="_Toc989117"/>
      <w:r>
        <w:rPr>
          <w:rFonts w:ascii="宋体" w:eastAsia="宋体" w:hAnsi="宋体" w:cs="宋体"/>
          <w:b/>
          <w:bCs/>
          <w:szCs w:val="21"/>
        </w:rPr>
        <w:t>4） 按欠款方归集的期末余额前五名的其他应收款情况</w:t>
      </w:r>
      <w:bookmarkEnd w:id="22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款项的性质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占其他应收款期末余额合计数的比例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坏账准备期末余额</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第一名</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代垫款</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295,541.92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56.54%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14,777.10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第二名</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代垫款</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86,137.26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1年以内79078.00；</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1-2年7059.26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4,659.83</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第三名</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保证金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72,000.00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13.77%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3,600.00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第四名</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保证金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30,000.00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1,500.00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第五名</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保证金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16,000.00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800.00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499,679.18</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95.59%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25,336.93</w:t>
            </w:r>
          </w:p>
        </w:tc>
      </w:tr>
    </w:tbl>
    <w:p w:rsidR="0080594E" w:rsidRDefault="000C39A3">
      <w:pPr>
        <w:pStyle w:val="3"/>
        <w:spacing w:line="280" w:lineRule="exact"/>
        <w:jc w:val="left"/>
        <w:rPr>
          <w:rFonts w:ascii="宋体" w:hAnsi="宋体" w:cs="宋体"/>
          <w:b/>
          <w:bCs/>
        </w:rPr>
      </w:pPr>
      <w:bookmarkStart w:id="228" w:name="_Toc989118"/>
      <w:r>
        <w:rPr>
          <w:rFonts w:ascii="宋体" w:hAnsi="宋体" w:cs="宋体"/>
          <w:b/>
          <w:bCs/>
        </w:rPr>
        <w:t>7、存货</w:t>
      </w:r>
      <w:bookmarkEnd w:id="228"/>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公司是否需要遵守房地产行业的披露要求</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否</w:t>
      </w:r>
    </w:p>
    <w:p w:rsidR="0080594E" w:rsidRDefault="000C39A3">
      <w:pPr>
        <w:keepNext/>
        <w:keepLines/>
        <w:spacing w:before="300" w:after="300" w:line="280" w:lineRule="exact"/>
        <w:outlineLvl w:val="3"/>
        <w:rPr>
          <w:rFonts w:ascii="宋体" w:eastAsia="宋体" w:hAnsi="宋体" w:cs="宋体"/>
          <w:b/>
          <w:bCs/>
          <w:szCs w:val="21"/>
        </w:rPr>
      </w:pPr>
      <w:bookmarkStart w:id="229" w:name="_Toc989119"/>
      <w:r>
        <w:rPr>
          <w:rFonts w:ascii="宋体" w:eastAsia="宋体" w:hAnsi="宋体" w:cs="宋体"/>
          <w:b/>
          <w:bCs/>
          <w:szCs w:val="21"/>
        </w:rPr>
        <w:t>（1） 存货分类</w:t>
      </w:r>
      <w:bookmarkEnd w:id="22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原材料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80,110,654.86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3,484,778.56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76,625,876.30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62,117,316.93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3,873,458.70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58,243,858.23</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在产品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8,030,338.09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8,030,338.09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14,124,663.84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14,124,663.84</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库存商品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80,492,072.64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443,980.51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80,048,092.13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109,489,311.86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742,084.76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108,747,227.10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周转材料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3,286,711.60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3,286,711.60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合同履约成本</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55,818.21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55,818.21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212,876.60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212,876.60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发出商品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2,147,362.54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5,255.88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2,142,106.66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10,166,330.60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8,266.98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10,158,063.62</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自制半成品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24,211,011.06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2,686,148.86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21,524,862.20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23,710,618.04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2,737,076.64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20,973,541.40</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委托加工物资</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120,290.53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120,290.53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64,017.57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64,017.57</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198,454,259.53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6,620,163.81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191,834,095.72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219,885,135.44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7,360,887.08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212,524,248.36</w:t>
            </w:r>
          </w:p>
        </w:tc>
      </w:tr>
    </w:tbl>
    <w:p w:rsidR="0080594E" w:rsidRDefault="000C39A3">
      <w:pPr>
        <w:keepNext/>
        <w:keepLines/>
        <w:spacing w:before="300" w:after="300" w:line="280" w:lineRule="exact"/>
        <w:outlineLvl w:val="3"/>
        <w:rPr>
          <w:rFonts w:ascii="宋体" w:eastAsia="宋体" w:hAnsi="宋体" w:cs="宋体"/>
          <w:b/>
          <w:bCs/>
          <w:szCs w:val="21"/>
        </w:rPr>
      </w:pPr>
      <w:bookmarkStart w:id="230" w:name="_Toc989120"/>
      <w:r>
        <w:rPr>
          <w:rFonts w:ascii="宋体" w:eastAsia="宋体" w:hAnsi="宋体" w:cs="宋体"/>
          <w:b/>
          <w:bCs/>
          <w:szCs w:val="21"/>
        </w:rPr>
        <w:t>（2） 存货跌价准备和合同履约成本减值准备</w:t>
      </w:r>
      <w:bookmarkEnd w:id="23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转回或转销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原材料</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3,873,458.70</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1,742,570.81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2,131,250.95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3,484,778.56</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库存商品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742,084.76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474,109.09</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772,213.34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443,980.51</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自制半成品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2,737,076.64</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2,259,899.53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2,310,827.31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2,686,148.86</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发出商品</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8,266.98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18,817.02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21,828.12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5,255.88</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7,360,887.08</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4,495,396.45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5,236,119.72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6,620,163.81</w:t>
            </w:r>
          </w:p>
        </w:tc>
      </w:tr>
    </w:tbl>
    <w:p w:rsidR="0080594E" w:rsidRDefault="0080594E">
      <w:pPr>
        <w:spacing w:before="100" w:after="100" w:line="0" w:lineRule="atLeast"/>
      </w:pPr>
    </w:p>
    <w:p w:rsidR="0080594E" w:rsidRDefault="0080594E"/>
    <w:p w:rsidR="0080594E" w:rsidRDefault="000C39A3">
      <w:pPr>
        <w:keepNext/>
        <w:keepLines/>
        <w:spacing w:before="300" w:after="300" w:line="280" w:lineRule="exact"/>
        <w:outlineLvl w:val="3"/>
        <w:rPr>
          <w:rFonts w:ascii="宋体" w:eastAsia="宋体" w:hAnsi="宋体" w:cs="宋体"/>
          <w:b/>
          <w:bCs/>
          <w:szCs w:val="21"/>
        </w:rPr>
      </w:pPr>
      <w:bookmarkStart w:id="231" w:name="_Toc989121"/>
      <w:r>
        <w:rPr>
          <w:rFonts w:ascii="宋体" w:eastAsia="宋体" w:hAnsi="宋体" w:cs="宋体"/>
          <w:b/>
          <w:bCs/>
          <w:szCs w:val="21"/>
        </w:rPr>
        <w:t>（3） 存货期末余额含有借款费用资本化金额的说明</w:t>
      </w:r>
      <w:bookmarkEnd w:id="231"/>
    </w:p>
    <w:p w:rsidR="000C39A3" w:rsidRDefault="000C39A3">
      <w:pPr>
        <w:pStyle w:val="a4"/>
        <w:divId w:val="1764103389"/>
        <w:rPr>
          <w:sz w:val="18"/>
          <w:szCs w:val="18"/>
        </w:rPr>
      </w:pPr>
      <w:r>
        <w:rPr>
          <w:rFonts w:hint="eastAsia"/>
        </w:rPr>
        <w:t>期末存货余额未含有借款费用资本化金额。</w:t>
      </w:r>
    </w:p>
    <w:p w:rsidR="0080594E" w:rsidRDefault="000C39A3">
      <w:pPr>
        <w:pStyle w:val="3"/>
        <w:spacing w:line="280" w:lineRule="exact"/>
        <w:jc w:val="left"/>
        <w:rPr>
          <w:rFonts w:ascii="宋体" w:hAnsi="宋体" w:cs="宋体"/>
          <w:b/>
          <w:bCs/>
        </w:rPr>
      </w:pPr>
      <w:bookmarkStart w:id="232" w:name="_Toc989122"/>
      <w:r>
        <w:rPr>
          <w:rFonts w:ascii="宋体" w:hAnsi="宋体" w:cs="宋体"/>
          <w:b/>
          <w:bCs/>
        </w:rPr>
        <w:t>8、其他流动资产</w:t>
      </w:r>
      <w:bookmarkEnd w:id="23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增值税借方余额重分类</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4,372,782.73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8,572,334.43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待抵扣采购返利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13,354,706.90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16,457,458.23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待摊费用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2,756,653.20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4,274,495.32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20,484,142.83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29,304,287.98</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33" w:name="_Toc989123"/>
      <w:r>
        <w:rPr>
          <w:rFonts w:ascii="宋体" w:hAnsi="宋体" w:cs="宋体"/>
          <w:b/>
          <w:bCs/>
        </w:rPr>
        <w:t>9、投资性房地产</w:t>
      </w:r>
      <w:bookmarkEnd w:id="233"/>
    </w:p>
    <w:p w:rsidR="0080594E" w:rsidRDefault="000C39A3">
      <w:pPr>
        <w:keepNext/>
        <w:keepLines/>
        <w:spacing w:before="300" w:after="300" w:line="280" w:lineRule="exact"/>
        <w:outlineLvl w:val="3"/>
        <w:rPr>
          <w:rFonts w:ascii="宋体" w:eastAsia="宋体" w:hAnsi="宋体" w:cs="宋体"/>
          <w:b/>
          <w:bCs/>
          <w:sz w:val="18"/>
          <w:szCs w:val="18"/>
        </w:rPr>
      </w:pPr>
      <w:bookmarkStart w:id="234" w:name="_Toc989124"/>
      <w:r>
        <w:rPr>
          <w:rFonts w:ascii="宋体" w:eastAsia="宋体" w:hAnsi="宋体" w:cs="宋体"/>
          <w:b/>
          <w:bCs/>
          <w:sz w:val="18"/>
          <w:szCs w:val="18"/>
        </w:rPr>
        <w:t>（1） 采用成本计量模式的投资性房地产</w:t>
      </w:r>
      <w:bookmarkEnd w:id="234"/>
    </w:p>
    <w:p w:rsidR="0080594E" w:rsidRDefault="000C39A3">
      <w:pPr>
        <w:spacing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房屋、建筑物</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土地使用权</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在建工程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EB4868">
            <w:pPr>
              <w:spacing w:line="240" w:lineRule="exact"/>
              <w:jc w:val="right"/>
              <w:rPr>
                <w:rFonts w:ascii="宋体" w:eastAsia="宋体" w:hAnsi="宋体" w:cs="宋体"/>
                <w:sz w:val="18"/>
                <w:szCs w:val="18"/>
              </w:rPr>
            </w:pPr>
            <w:r w:rsidRPr="00EB4868">
              <w:rPr>
                <w:rFonts w:ascii="宋体" w:eastAsia="宋体" w:hAnsi="宋体" w:cs="宋体"/>
                <w:sz w:val="18"/>
                <w:szCs w:val="18"/>
              </w:rPr>
              <w:t>10,774,968.00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EB4868">
            <w:pPr>
              <w:spacing w:line="240" w:lineRule="exact"/>
              <w:jc w:val="right"/>
              <w:rPr>
                <w:rFonts w:ascii="宋体" w:eastAsia="宋体" w:hAnsi="宋体" w:cs="宋体"/>
                <w:sz w:val="18"/>
                <w:szCs w:val="18"/>
              </w:rPr>
            </w:pPr>
            <w:r w:rsidRPr="00EB4868">
              <w:rPr>
                <w:rFonts w:ascii="宋体" w:eastAsia="宋体" w:hAnsi="宋体" w:cs="宋体"/>
                <w:sz w:val="18"/>
                <w:szCs w:val="18"/>
              </w:rPr>
              <w:t>119,982,053.38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130,757,021.38</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lastRenderedPageBreak/>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EB4868">
            <w:pPr>
              <w:spacing w:line="240" w:lineRule="exact"/>
              <w:jc w:val="right"/>
              <w:rPr>
                <w:rFonts w:ascii="宋体" w:eastAsia="宋体" w:hAnsi="宋体" w:cs="宋体"/>
                <w:sz w:val="18"/>
                <w:szCs w:val="18"/>
              </w:rPr>
            </w:pPr>
            <w:r w:rsidRPr="00EB4868">
              <w:rPr>
                <w:rFonts w:ascii="宋体" w:eastAsia="宋体" w:hAnsi="宋体" w:cs="宋体"/>
                <w:sz w:val="18"/>
                <w:szCs w:val="18"/>
              </w:rPr>
              <w:t>120,095,654.36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EB4868">
            <w:pPr>
              <w:spacing w:line="240" w:lineRule="exact"/>
              <w:jc w:val="right"/>
              <w:rPr>
                <w:rFonts w:ascii="宋体" w:eastAsia="宋体" w:hAnsi="宋体" w:cs="宋体"/>
                <w:sz w:val="18"/>
                <w:szCs w:val="18"/>
              </w:rPr>
            </w:pPr>
            <w:r>
              <w:rPr>
                <w:rFonts w:ascii="宋体" w:eastAsia="宋体" w:hAnsi="宋体" w:cs="宋体"/>
                <w:sz w:val="18"/>
                <w:szCs w:val="18"/>
              </w:rPr>
              <w:t>113,600.98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FA4591">
              <w:rPr>
                <w:rFonts w:ascii="宋体" w:eastAsia="宋体" w:hAnsi="宋体" w:cs="宋体"/>
                <w:sz w:val="18"/>
                <w:szCs w:val="18"/>
              </w:rPr>
              <w:t>127,516,855.64</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（1）外购</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FA4591">
              <w:rPr>
                <w:rFonts w:ascii="宋体" w:eastAsia="宋体" w:hAnsi="宋体" w:cs="宋体"/>
                <w:sz w:val="18"/>
                <w:szCs w:val="18"/>
              </w:rPr>
              <w:t>113,600.98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113,600.98</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（2）存货\固定资产\在建工程转入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FA4591">
              <w:rPr>
                <w:rFonts w:ascii="宋体" w:eastAsia="宋体" w:hAnsi="宋体" w:cs="宋体"/>
                <w:sz w:val="18"/>
                <w:szCs w:val="18"/>
              </w:rPr>
              <w:t>120,095,654.36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FA4591">
              <w:rPr>
                <w:rFonts w:ascii="宋体" w:eastAsia="宋体" w:hAnsi="宋体" w:cs="宋体"/>
                <w:sz w:val="18"/>
                <w:szCs w:val="18"/>
              </w:rPr>
              <w:t>120,095,654.36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无形资产转入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8071B9">
              <w:rPr>
                <w:rFonts w:ascii="宋体" w:eastAsia="宋体" w:hAnsi="宋体" w:cs="宋体"/>
                <w:sz w:val="18"/>
                <w:szCs w:val="18"/>
              </w:rPr>
              <w:t>120,095,654.36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C0737C">
              <w:rPr>
                <w:rFonts w:ascii="宋体" w:eastAsia="宋体" w:hAnsi="宋体" w:cs="宋体"/>
                <w:sz w:val="18"/>
                <w:szCs w:val="18"/>
              </w:rPr>
              <w:t>120,095,654.36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rPr>
                <w:rFonts w:ascii="宋体" w:eastAsia="宋体" w:hAnsi="宋体" w:cs="宋体"/>
                <w:sz w:val="18"/>
                <w:szCs w:val="18"/>
              </w:rPr>
            </w:pPr>
            <w:r>
              <w:rPr>
                <w:rFonts w:ascii="宋体" w:eastAsia="宋体" w:hAnsi="宋体" w:cs="宋体" w:hint="eastAsia"/>
                <w:sz w:val="18"/>
                <w:szCs w:val="18"/>
              </w:rPr>
              <w:t>转入房屋、建筑物</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C0737C">
              <w:rPr>
                <w:rFonts w:ascii="宋体" w:eastAsia="宋体" w:hAnsi="宋体" w:cs="宋体"/>
                <w:sz w:val="18"/>
                <w:szCs w:val="18"/>
              </w:rPr>
              <w:t>120,095,654.36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C0737C">
              <w:rPr>
                <w:rFonts w:ascii="宋体" w:eastAsia="宋体" w:hAnsi="宋体" w:cs="宋体"/>
                <w:sz w:val="18"/>
                <w:szCs w:val="18"/>
              </w:rPr>
              <w:t>120,095,654.36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130,870,622.36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138,178,222.66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二、累计折旧和累计摊销</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6,569,812.26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6,569,812.26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5,438,819.26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617,899.31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6,056,718.57</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（1）计提或摊销</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5,438,819.26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146,223.00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5,585,042.26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无形资产转入</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471,676.31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471,676.31</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12,008,631.52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617,899.31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12,626,530.83</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118,861,990.84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6,689,700.99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125,551,691.83</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8071B9">
              <w:rPr>
                <w:rFonts w:ascii="宋体" w:eastAsia="宋体" w:hAnsi="宋体" w:cs="宋体"/>
                <w:sz w:val="18"/>
                <w:szCs w:val="18"/>
              </w:rPr>
              <w:t>4,205,155.74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FA4591">
            <w:pPr>
              <w:spacing w:line="240" w:lineRule="exact"/>
              <w:jc w:val="right"/>
              <w:rPr>
                <w:rFonts w:ascii="宋体" w:eastAsia="宋体" w:hAnsi="宋体" w:cs="宋体"/>
                <w:sz w:val="18"/>
                <w:szCs w:val="18"/>
              </w:rPr>
            </w:pPr>
            <w:r w:rsidRPr="008071B9">
              <w:rPr>
                <w:rFonts w:ascii="宋体" w:eastAsia="宋体" w:hAnsi="宋体" w:cs="宋体"/>
                <w:sz w:val="18"/>
                <w:szCs w:val="18"/>
              </w:rPr>
              <w:t>119,982,053.38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124,187,209.12</w:t>
            </w:r>
          </w:p>
        </w:tc>
      </w:tr>
    </w:tbl>
    <w:p w:rsidR="0080594E" w:rsidRDefault="000C39A3">
      <w:pPr>
        <w:keepNext/>
        <w:keepLines/>
        <w:spacing w:before="300" w:after="300" w:line="280" w:lineRule="exact"/>
        <w:outlineLvl w:val="3"/>
        <w:rPr>
          <w:rFonts w:ascii="宋体" w:eastAsia="宋体" w:hAnsi="宋体" w:cs="宋体"/>
          <w:b/>
          <w:bCs/>
          <w:sz w:val="18"/>
          <w:szCs w:val="18"/>
        </w:rPr>
      </w:pPr>
      <w:bookmarkStart w:id="235" w:name="_Toc989125"/>
      <w:r>
        <w:rPr>
          <w:rFonts w:ascii="宋体" w:eastAsia="宋体" w:hAnsi="宋体" w:cs="宋体"/>
          <w:b/>
          <w:bCs/>
          <w:sz w:val="18"/>
          <w:szCs w:val="18"/>
        </w:rPr>
        <w:t>（2） 采用公允价值计量模式的投资性房地产</w:t>
      </w:r>
      <w:bookmarkEnd w:id="235"/>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keepNext/>
        <w:keepLines/>
        <w:spacing w:before="300" w:after="300" w:line="280" w:lineRule="exact"/>
        <w:outlineLvl w:val="3"/>
        <w:rPr>
          <w:rFonts w:ascii="宋体" w:eastAsia="宋体" w:hAnsi="宋体" w:cs="宋体"/>
          <w:b/>
          <w:bCs/>
          <w:sz w:val="18"/>
          <w:szCs w:val="18"/>
        </w:rPr>
      </w:pPr>
      <w:bookmarkStart w:id="236" w:name="_Toc989126"/>
      <w:r>
        <w:rPr>
          <w:rFonts w:ascii="宋体" w:eastAsia="宋体" w:hAnsi="宋体" w:cs="宋体"/>
          <w:b/>
          <w:bCs/>
          <w:sz w:val="18"/>
          <w:szCs w:val="18"/>
        </w:rPr>
        <w:lastRenderedPageBreak/>
        <w:t>（3） 未办妥产权证书的投资性房地产情况</w:t>
      </w:r>
      <w:bookmarkEnd w:id="236"/>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未办妥产权证书原因</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37" w:name="_Toc989127"/>
      <w:r>
        <w:rPr>
          <w:rFonts w:ascii="宋体" w:hAnsi="宋体" w:cs="宋体"/>
          <w:b/>
          <w:bCs/>
        </w:rPr>
        <w:t>10、固定资产</w:t>
      </w:r>
      <w:bookmarkEnd w:id="23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269,365,460.80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255,889,423.53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269,365,460.80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255,889,423.53</w:t>
            </w:r>
          </w:p>
        </w:tc>
      </w:tr>
    </w:tbl>
    <w:p w:rsidR="0080594E" w:rsidRDefault="000C39A3">
      <w:pPr>
        <w:keepNext/>
        <w:keepLines/>
        <w:spacing w:before="300" w:after="300" w:line="280" w:lineRule="exact"/>
        <w:outlineLvl w:val="3"/>
        <w:rPr>
          <w:rFonts w:ascii="宋体" w:eastAsia="宋体" w:hAnsi="宋体" w:cs="宋体"/>
          <w:b/>
          <w:bCs/>
          <w:szCs w:val="21"/>
        </w:rPr>
      </w:pPr>
      <w:bookmarkStart w:id="238" w:name="_Toc989128"/>
      <w:r>
        <w:rPr>
          <w:rFonts w:ascii="宋体" w:eastAsia="宋体" w:hAnsi="宋体" w:cs="宋体"/>
          <w:b/>
          <w:bCs/>
          <w:szCs w:val="21"/>
        </w:rPr>
        <w:t>（1） 固定资产情况</w:t>
      </w:r>
      <w:bookmarkEnd w:id="23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房屋及建筑物</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机器设备</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运输工具</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办公设备</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115,805,563.96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322,713,003.03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5,830,361.68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5,268,386.13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449,617,314.80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47,280,610.71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504,978.34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47,785,589.05</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（1）购置</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10,236,767.65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504,978.34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10,741,745.99</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（2）在建工程转入</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37,043,843.06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37,043,843.06</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1,453,639.70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21,316.25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1,474,955.95</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1,453,639.70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21,316.25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1,474,955.95</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115,805,563.96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368,539,974.04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5,830,361.68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5,752,048.22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495,927,947.90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二、累计折旧</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39,990,939.36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147,928,621.12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2,704,727.12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3,103,603.67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193,727,891.27</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5,561,757.12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27,502,836.06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468,169.90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590,655.01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34,123,418.09</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5,561,757.12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27,502,836.06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468,169.90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590,655.01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34,123,418.09</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1,268,881.09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19,941.17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1,288,822.26</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1,268,881.09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19,941.17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1,288,822.26</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lastRenderedPageBreak/>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45,552,696.48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174,162,576.09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3,172,897.02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3,674,317.51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226,562,487.10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70,252,867.48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194,377,397.95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2,657,464.66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2,077,730.71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269,365,460.80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75,814,624.60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174,784,381.91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3,125,634.56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2,164,782.46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255,889,423.53</w:t>
            </w:r>
          </w:p>
        </w:tc>
      </w:tr>
    </w:tbl>
    <w:p w:rsidR="0080594E" w:rsidRDefault="000C39A3">
      <w:pPr>
        <w:keepNext/>
        <w:keepLines/>
        <w:spacing w:before="300" w:after="300" w:line="280" w:lineRule="exact"/>
        <w:outlineLvl w:val="3"/>
        <w:rPr>
          <w:rFonts w:ascii="宋体" w:eastAsia="宋体" w:hAnsi="宋体" w:cs="宋体"/>
          <w:b/>
          <w:bCs/>
          <w:szCs w:val="21"/>
        </w:rPr>
      </w:pPr>
      <w:bookmarkStart w:id="239" w:name="_Toc989129"/>
      <w:r>
        <w:rPr>
          <w:rFonts w:ascii="宋体" w:eastAsia="宋体" w:hAnsi="宋体" w:cs="宋体"/>
          <w:b/>
          <w:bCs/>
          <w:szCs w:val="21"/>
        </w:rPr>
        <w:t>（2） 暂时闲置的固定资产情况</w:t>
      </w:r>
      <w:bookmarkEnd w:id="23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账面原值</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累计折旧</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备注</w:t>
            </w:r>
          </w:p>
        </w:tc>
      </w:tr>
    </w:tbl>
    <w:p w:rsidR="0080594E" w:rsidRDefault="000C39A3">
      <w:pPr>
        <w:keepNext/>
        <w:keepLines/>
        <w:spacing w:before="300" w:after="300" w:line="280" w:lineRule="exact"/>
        <w:outlineLvl w:val="3"/>
        <w:rPr>
          <w:rFonts w:ascii="宋体" w:eastAsia="宋体" w:hAnsi="宋体" w:cs="宋体"/>
          <w:b/>
          <w:bCs/>
          <w:szCs w:val="21"/>
        </w:rPr>
      </w:pPr>
      <w:bookmarkStart w:id="240" w:name="_Toc989130"/>
      <w:r>
        <w:rPr>
          <w:rFonts w:ascii="宋体" w:eastAsia="宋体" w:hAnsi="宋体" w:cs="宋体"/>
          <w:b/>
          <w:bCs/>
          <w:szCs w:val="21"/>
        </w:rPr>
        <w:t>（3） 通过经营租赁租出的固定资产</w:t>
      </w:r>
      <w:bookmarkEnd w:id="24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期末账面价值</w:t>
            </w:r>
          </w:p>
        </w:tc>
      </w:tr>
    </w:tbl>
    <w:p w:rsidR="0080594E" w:rsidRDefault="000C39A3">
      <w:pPr>
        <w:keepNext/>
        <w:keepLines/>
        <w:spacing w:before="300" w:after="300" w:line="280" w:lineRule="exact"/>
        <w:outlineLvl w:val="3"/>
        <w:rPr>
          <w:rFonts w:ascii="宋体" w:eastAsia="宋体" w:hAnsi="宋体" w:cs="宋体"/>
          <w:b/>
          <w:bCs/>
          <w:szCs w:val="21"/>
        </w:rPr>
      </w:pPr>
      <w:bookmarkStart w:id="241" w:name="_Toc989131"/>
      <w:r>
        <w:rPr>
          <w:rFonts w:ascii="宋体" w:eastAsia="宋体" w:hAnsi="宋体" w:cs="宋体"/>
          <w:b/>
          <w:bCs/>
          <w:szCs w:val="21"/>
        </w:rPr>
        <w:t>（4） 未办妥产权证书的固定资产情况</w:t>
      </w:r>
      <w:bookmarkEnd w:id="24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未办妥产权证书的原因</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keepNext/>
        <w:keepLines/>
        <w:spacing w:before="300" w:after="300" w:line="280" w:lineRule="exact"/>
        <w:outlineLvl w:val="3"/>
        <w:rPr>
          <w:rFonts w:ascii="宋体" w:eastAsia="宋体" w:hAnsi="宋体" w:cs="宋体"/>
          <w:b/>
          <w:bCs/>
          <w:szCs w:val="21"/>
        </w:rPr>
      </w:pPr>
      <w:bookmarkStart w:id="242" w:name="_Toc989132"/>
      <w:r>
        <w:rPr>
          <w:rFonts w:ascii="宋体" w:eastAsia="宋体" w:hAnsi="宋体" w:cs="宋体"/>
          <w:b/>
          <w:bCs/>
          <w:szCs w:val="21"/>
        </w:rPr>
        <w:t>（5） 固定资产清理</w:t>
      </w:r>
      <w:bookmarkEnd w:id="24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43" w:name="_Toc989133"/>
      <w:r>
        <w:rPr>
          <w:rFonts w:ascii="宋体" w:hAnsi="宋体" w:cs="宋体"/>
          <w:b/>
          <w:bCs/>
        </w:rPr>
        <w:lastRenderedPageBreak/>
        <w:t>11、在建工程</w:t>
      </w:r>
      <w:bookmarkEnd w:id="24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17,499,646.67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17,499,646.67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r>
    </w:tbl>
    <w:p w:rsidR="0080594E" w:rsidRDefault="000C39A3">
      <w:pPr>
        <w:keepNext/>
        <w:keepLines/>
        <w:spacing w:before="300" w:after="300" w:line="280" w:lineRule="exact"/>
        <w:outlineLvl w:val="3"/>
        <w:rPr>
          <w:rFonts w:ascii="宋体" w:eastAsia="宋体" w:hAnsi="宋体" w:cs="宋体"/>
          <w:b/>
          <w:bCs/>
          <w:szCs w:val="21"/>
        </w:rPr>
      </w:pPr>
      <w:bookmarkStart w:id="244" w:name="_Toc989134"/>
      <w:r>
        <w:rPr>
          <w:rFonts w:ascii="宋体" w:eastAsia="宋体" w:hAnsi="宋体" w:cs="宋体"/>
          <w:b/>
          <w:bCs/>
          <w:szCs w:val="21"/>
        </w:rPr>
        <w:t>（1） 在建工程情况</w:t>
      </w:r>
      <w:bookmarkEnd w:id="24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空压机制造基地工程项目土建工程</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15,335,929.86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15,335,929.86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待安装软件与设备</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2,163,716.81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2,163,716.81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17,499,646.67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17,499,646.67</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18,645,846.62</w:t>
            </w:r>
          </w:p>
        </w:tc>
      </w:tr>
    </w:tbl>
    <w:p w:rsidR="0080594E" w:rsidRDefault="000C39A3">
      <w:pPr>
        <w:keepNext/>
        <w:keepLines/>
        <w:spacing w:before="300" w:after="300" w:line="280" w:lineRule="exact"/>
        <w:outlineLvl w:val="3"/>
        <w:rPr>
          <w:rFonts w:ascii="宋体" w:eastAsia="宋体" w:hAnsi="宋体" w:cs="宋体"/>
          <w:b/>
          <w:bCs/>
          <w:szCs w:val="21"/>
        </w:rPr>
      </w:pPr>
      <w:bookmarkStart w:id="245" w:name="_Toc989135"/>
      <w:r>
        <w:rPr>
          <w:rFonts w:ascii="宋体" w:eastAsia="宋体" w:hAnsi="宋体" w:cs="宋体"/>
          <w:b/>
          <w:bCs/>
          <w:szCs w:val="21"/>
        </w:rPr>
        <w:t>（2） 重要在建工程项目本期变动情况</w:t>
      </w:r>
      <w:bookmarkEnd w:id="24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80594E">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预算数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本期转入固定资产金额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本期其他减少金额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工程累计投入占预算比例</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工程进度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利息资本化累计金额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其中：本期利息资本化金额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本期利息资本化率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资金来源</w:t>
            </w: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空压机制造基地工程项目土建工程</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700,627,100.00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15,335,929.86</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15,335,929.86</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2.19%</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2.19</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7B1B34">
            <w:pPr>
              <w:spacing w:line="240" w:lineRule="exact"/>
              <w:rPr>
                <w:rFonts w:ascii="宋体" w:eastAsia="宋体" w:hAnsi="宋体" w:cs="宋体"/>
                <w:sz w:val="18"/>
                <w:szCs w:val="18"/>
              </w:rPr>
            </w:pPr>
            <w:r>
              <w:rPr>
                <w:rFonts w:ascii="宋体" w:eastAsia="宋体" w:hAnsi="宋体" w:cs="宋体" w:hint="eastAsia"/>
                <w:sz w:val="18"/>
                <w:szCs w:val="18"/>
              </w:rPr>
              <w:t>自有资金</w:t>
            </w:r>
          </w:p>
        </w:tc>
      </w:tr>
      <w:tr w:rsidR="0080594E">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700,627,100.00</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15,335,929.86</w:t>
            </w: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15,335,929.86</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pPr>
        <w:pStyle w:val="3"/>
        <w:spacing w:line="280" w:lineRule="exact"/>
        <w:jc w:val="left"/>
        <w:rPr>
          <w:rFonts w:ascii="宋体" w:hAnsi="宋体" w:cs="宋体"/>
          <w:b/>
          <w:bCs/>
        </w:rPr>
      </w:pPr>
      <w:bookmarkStart w:id="246" w:name="_Toc989136"/>
      <w:r>
        <w:rPr>
          <w:rFonts w:ascii="宋体" w:hAnsi="宋体" w:cs="宋体"/>
          <w:b/>
          <w:bCs/>
        </w:rPr>
        <w:t>12、无形资产</w:t>
      </w:r>
      <w:bookmarkEnd w:id="246"/>
    </w:p>
    <w:p w:rsidR="0080594E" w:rsidRDefault="000C39A3">
      <w:pPr>
        <w:keepNext/>
        <w:keepLines/>
        <w:spacing w:before="300" w:after="300" w:line="280" w:lineRule="exact"/>
        <w:outlineLvl w:val="3"/>
        <w:rPr>
          <w:rFonts w:ascii="宋体" w:eastAsia="宋体" w:hAnsi="宋体" w:cs="宋体"/>
          <w:b/>
          <w:bCs/>
          <w:szCs w:val="21"/>
        </w:rPr>
      </w:pPr>
      <w:bookmarkStart w:id="247" w:name="_Toc989137"/>
      <w:r>
        <w:rPr>
          <w:rFonts w:ascii="宋体" w:eastAsia="宋体" w:hAnsi="宋体" w:cs="宋体"/>
          <w:b/>
          <w:bCs/>
          <w:szCs w:val="21"/>
        </w:rPr>
        <w:t>（1） 无形资产情况</w:t>
      </w:r>
      <w:bookmarkEnd w:id="24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土地使用权</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专利权</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非专利技术</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center"/>
              <w:rPr>
                <w:rFonts w:ascii="宋体" w:eastAsia="宋体" w:hAnsi="宋体" w:cs="宋体"/>
                <w:sz w:val="18"/>
                <w:szCs w:val="18"/>
              </w:rPr>
            </w:pPr>
            <w:r>
              <w:rPr>
                <w:rFonts w:ascii="宋体" w:eastAsia="宋体" w:hAnsi="宋体" w:cs="宋体"/>
                <w:sz w:val="18"/>
                <w:szCs w:val="18"/>
              </w:rPr>
              <w:t>计算机软件</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16,903,430.30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10,193,183.81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27,096,614.11</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w:t>
            </w:r>
            <w:r>
              <w:rPr>
                <w:rFonts w:ascii="宋体" w:eastAsia="宋体" w:hAnsi="宋体" w:cs="宋体"/>
                <w:sz w:val="18"/>
                <w:szCs w:val="18"/>
              </w:rPr>
              <w:lastRenderedPageBreak/>
              <w:t>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32,372,900.00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1,989,660.97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34,362,560.97</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（1）购置</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32,372,900.00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1,989,660.97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34,362,560.97</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（2）内部研发</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其中：转入投资性房地产</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7,307,600.30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41,968,730.00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12,182,844.78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54,151,574.78</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二、累计摊销</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2,930,224.27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5,494,616.11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8,424,840.38</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697,329.27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1,918,519.65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2,615,848.92</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697,329.27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1,918,519.65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2,615,848.92</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471,676.31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471,676.31</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其中：转入投资性房地产</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471,676.31</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471,676.31</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3,155,877.23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7,413,135.76</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10,569,012.99</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38,812,852.77</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4,769,709.02</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43,582,561.79</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13,973,206.03</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4,698,567.70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18,671,773.73</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本期末通过公司内部研发形成的无形资产占无形资产余额的比例0.00%。</w:t>
      </w:r>
    </w:p>
    <w:p w:rsidR="0080594E" w:rsidRDefault="000C39A3">
      <w:pPr>
        <w:keepNext/>
        <w:keepLines/>
        <w:spacing w:before="300" w:after="300" w:line="280" w:lineRule="exact"/>
        <w:outlineLvl w:val="3"/>
        <w:rPr>
          <w:rFonts w:ascii="宋体" w:eastAsia="宋体" w:hAnsi="宋体" w:cs="宋体"/>
          <w:b/>
          <w:bCs/>
          <w:szCs w:val="21"/>
        </w:rPr>
      </w:pPr>
      <w:bookmarkStart w:id="248" w:name="_Toc989138"/>
      <w:r>
        <w:rPr>
          <w:rFonts w:ascii="宋体" w:eastAsia="宋体" w:hAnsi="宋体" w:cs="宋体"/>
          <w:b/>
          <w:bCs/>
          <w:szCs w:val="21"/>
        </w:rPr>
        <w:lastRenderedPageBreak/>
        <w:t>（2） 未办妥产权证书的土地使用权情况</w:t>
      </w:r>
      <w:bookmarkEnd w:id="24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未办妥产权证书的原因</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49" w:name="_Toc989139"/>
      <w:r>
        <w:rPr>
          <w:rFonts w:ascii="宋体" w:hAnsi="宋体" w:cs="宋体"/>
          <w:b/>
          <w:bCs/>
        </w:rPr>
        <w:t>13、长期待摊费用</w:t>
      </w:r>
      <w:bookmarkEnd w:id="24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本期摊销金额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其他减少金额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厂区装修改造费用</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178,923.60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87,205.08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91,718.52</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178,923.60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87,205.08</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91,718.52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50" w:name="_Toc989140"/>
      <w:r>
        <w:rPr>
          <w:rFonts w:ascii="宋体" w:hAnsi="宋体" w:cs="宋体"/>
          <w:b/>
          <w:bCs/>
        </w:rPr>
        <w:t>14、递延所得税资产/递延所得税负债</w:t>
      </w:r>
      <w:bookmarkEnd w:id="250"/>
    </w:p>
    <w:p w:rsidR="0080594E" w:rsidRDefault="000C39A3">
      <w:pPr>
        <w:keepNext/>
        <w:keepLines/>
        <w:spacing w:before="300" w:after="300" w:line="280" w:lineRule="exact"/>
        <w:outlineLvl w:val="3"/>
        <w:rPr>
          <w:rFonts w:ascii="宋体" w:eastAsia="宋体" w:hAnsi="宋体" w:cs="宋体"/>
          <w:b/>
          <w:bCs/>
          <w:szCs w:val="21"/>
        </w:rPr>
      </w:pPr>
      <w:bookmarkStart w:id="251" w:name="_Toc989141"/>
      <w:r>
        <w:rPr>
          <w:rFonts w:ascii="宋体" w:eastAsia="宋体" w:hAnsi="宋体" w:cs="宋体"/>
          <w:b/>
          <w:bCs/>
          <w:szCs w:val="21"/>
        </w:rPr>
        <w:t>（1） 未经抵销的递延所得税资产</w:t>
      </w:r>
      <w:bookmarkEnd w:id="25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资产减值准备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6,620,163.81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993,024.57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7,360,887.08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1,104,133.06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信用减值准备</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6,193,914.26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929,087.14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7,011,129.18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1,051,669.38</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递延收益</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21,205,426.54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3,180,813.98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17,670,844.39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2,650,626.66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预提销售返利</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185,976,320.57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27,896,448.09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164,288,744.79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24,643,311.72</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219,995,825.18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32,999,373.78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196,331,605.44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29,449,740.82</w:t>
            </w:r>
          </w:p>
        </w:tc>
      </w:tr>
    </w:tbl>
    <w:p w:rsidR="0080594E" w:rsidRDefault="000C39A3">
      <w:pPr>
        <w:keepNext/>
        <w:keepLines/>
        <w:spacing w:before="300" w:after="300" w:line="280" w:lineRule="exact"/>
        <w:outlineLvl w:val="3"/>
        <w:rPr>
          <w:rFonts w:ascii="宋体" w:eastAsia="宋体" w:hAnsi="宋体" w:cs="宋体"/>
          <w:b/>
          <w:bCs/>
          <w:szCs w:val="21"/>
        </w:rPr>
      </w:pPr>
      <w:bookmarkStart w:id="252" w:name="_Toc989142"/>
      <w:r>
        <w:rPr>
          <w:rFonts w:ascii="宋体" w:eastAsia="宋体" w:hAnsi="宋体" w:cs="宋体"/>
          <w:b/>
          <w:bCs/>
          <w:szCs w:val="21"/>
        </w:rPr>
        <w:t>（2） 未经抵销的递延所得税负债</w:t>
      </w:r>
      <w:bookmarkEnd w:id="25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递延所得税负债</w:t>
            </w:r>
          </w:p>
        </w:tc>
      </w:tr>
    </w:tbl>
    <w:p w:rsidR="0080594E" w:rsidRDefault="000C39A3">
      <w:pPr>
        <w:keepNext/>
        <w:keepLines/>
        <w:spacing w:before="300" w:after="300" w:line="280" w:lineRule="exact"/>
        <w:outlineLvl w:val="3"/>
        <w:rPr>
          <w:rFonts w:ascii="宋体" w:eastAsia="宋体" w:hAnsi="宋体" w:cs="宋体"/>
          <w:b/>
          <w:bCs/>
          <w:szCs w:val="21"/>
        </w:rPr>
      </w:pPr>
      <w:bookmarkStart w:id="253" w:name="_Toc989143"/>
      <w:r>
        <w:rPr>
          <w:rFonts w:ascii="宋体" w:eastAsia="宋体" w:hAnsi="宋体" w:cs="宋体"/>
          <w:b/>
          <w:bCs/>
          <w:szCs w:val="21"/>
        </w:rPr>
        <w:t>（3） 以抵销后净额列示的递延所得税资产或负债</w:t>
      </w:r>
      <w:bookmarkEnd w:id="25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递延所得税资产和负债期末互抵金额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抵销后递延所得税资产或负债期末余额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递延所得税资产和负债期初互抵金额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抵销后递延所得税资产或负债期初余额</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32,999,373.78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29,449,740.82</w:t>
            </w:r>
          </w:p>
        </w:tc>
      </w:tr>
    </w:tbl>
    <w:p w:rsidR="0080594E" w:rsidRDefault="000C39A3">
      <w:pPr>
        <w:keepNext/>
        <w:keepLines/>
        <w:spacing w:before="300" w:after="300" w:line="280" w:lineRule="exact"/>
        <w:outlineLvl w:val="3"/>
        <w:rPr>
          <w:rFonts w:ascii="宋体" w:eastAsia="宋体" w:hAnsi="宋体" w:cs="宋体"/>
          <w:b/>
          <w:bCs/>
          <w:szCs w:val="21"/>
        </w:rPr>
      </w:pPr>
      <w:bookmarkStart w:id="254" w:name="_Toc989144"/>
      <w:r>
        <w:rPr>
          <w:rFonts w:ascii="宋体" w:eastAsia="宋体" w:hAnsi="宋体" w:cs="宋体"/>
          <w:b/>
          <w:bCs/>
          <w:szCs w:val="21"/>
        </w:rPr>
        <w:t>（4） 未确认递延所得税资产明细</w:t>
      </w:r>
      <w:bookmarkEnd w:id="25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bl>
    <w:p w:rsidR="0080594E" w:rsidRDefault="000C39A3">
      <w:pPr>
        <w:keepNext/>
        <w:keepLines/>
        <w:spacing w:before="300" w:after="300" w:line="280" w:lineRule="exact"/>
        <w:outlineLvl w:val="3"/>
        <w:rPr>
          <w:rFonts w:ascii="宋体" w:eastAsia="宋体" w:hAnsi="宋体" w:cs="宋体"/>
          <w:b/>
          <w:bCs/>
          <w:szCs w:val="21"/>
        </w:rPr>
      </w:pPr>
      <w:bookmarkStart w:id="255" w:name="_Toc989145"/>
      <w:r>
        <w:rPr>
          <w:rFonts w:ascii="宋体" w:eastAsia="宋体" w:hAnsi="宋体" w:cs="宋体"/>
          <w:b/>
          <w:bCs/>
          <w:szCs w:val="21"/>
        </w:rPr>
        <w:t>（5） 未确认递延所得税资产的可抵扣亏损将于以下年度到期</w:t>
      </w:r>
      <w:bookmarkEnd w:id="25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年份</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备注</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56" w:name="_Toc989146"/>
      <w:r>
        <w:rPr>
          <w:rFonts w:ascii="宋体" w:hAnsi="宋体" w:cs="宋体"/>
          <w:b/>
          <w:bCs/>
        </w:rPr>
        <w:t>15、其他非流动资产</w:t>
      </w:r>
      <w:bookmarkEnd w:id="256"/>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80594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预付工程、设备款</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3,317,802.56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3,317,802.56</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15,575,120.93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15,575,120.93</w:t>
            </w: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预付的软件款</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1,132,924.75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1,132,924.75</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4,450,727.31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4,450,727.31</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15,575,120.93</w:t>
            </w: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15,575,120.93</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57" w:name="_Toc989147"/>
      <w:r>
        <w:rPr>
          <w:rFonts w:ascii="宋体" w:hAnsi="宋体" w:cs="宋体"/>
          <w:b/>
          <w:bCs/>
        </w:rPr>
        <w:t>16、应付票据</w:t>
      </w:r>
      <w:bookmarkEnd w:id="25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种类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银行承兑汇票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75,000,000.00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75,000,000.00</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本期末已到期未支付的应付票据总额为元。</w:t>
      </w:r>
    </w:p>
    <w:p w:rsidR="0080594E" w:rsidRDefault="000C39A3">
      <w:pPr>
        <w:pStyle w:val="3"/>
        <w:spacing w:line="280" w:lineRule="exact"/>
        <w:jc w:val="left"/>
        <w:rPr>
          <w:rFonts w:ascii="宋体" w:hAnsi="宋体" w:cs="宋体"/>
          <w:b/>
          <w:bCs/>
        </w:rPr>
      </w:pPr>
      <w:bookmarkStart w:id="258" w:name="_Toc989148"/>
      <w:r>
        <w:rPr>
          <w:rFonts w:ascii="宋体" w:hAnsi="宋体" w:cs="宋体"/>
          <w:b/>
          <w:bCs/>
        </w:rPr>
        <w:t>17、应付账款</w:t>
      </w:r>
      <w:bookmarkEnd w:id="258"/>
    </w:p>
    <w:p w:rsidR="0080594E" w:rsidRDefault="000C39A3">
      <w:pPr>
        <w:keepNext/>
        <w:keepLines/>
        <w:spacing w:before="300" w:after="300" w:line="280" w:lineRule="exact"/>
        <w:outlineLvl w:val="3"/>
        <w:rPr>
          <w:rFonts w:ascii="宋体" w:eastAsia="宋体" w:hAnsi="宋体" w:cs="宋体"/>
          <w:b/>
          <w:bCs/>
          <w:sz w:val="18"/>
          <w:szCs w:val="18"/>
        </w:rPr>
      </w:pPr>
      <w:bookmarkStart w:id="259" w:name="_Toc989149"/>
      <w:r>
        <w:rPr>
          <w:rFonts w:ascii="宋体" w:eastAsia="宋体" w:hAnsi="宋体" w:cs="宋体"/>
          <w:b/>
          <w:bCs/>
          <w:sz w:val="18"/>
          <w:szCs w:val="18"/>
        </w:rPr>
        <w:t>（1） 应付账款列示</w:t>
      </w:r>
      <w:bookmarkEnd w:id="25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应付货款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130,591,345.44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118,740,316.53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应付工程款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3,499,571.29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6,315,146.73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应付运费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2,646,568.12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2,824,934.45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应付设备款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1,172,181.35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5,192,153.77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515,128.77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119,070.75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138,424,794.97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133,191,622.23</w:t>
            </w:r>
          </w:p>
        </w:tc>
      </w:tr>
    </w:tbl>
    <w:p w:rsidR="0080594E" w:rsidRDefault="000C39A3">
      <w:pPr>
        <w:keepNext/>
        <w:keepLines/>
        <w:spacing w:before="300" w:after="300" w:line="280" w:lineRule="exact"/>
        <w:outlineLvl w:val="3"/>
        <w:rPr>
          <w:rFonts w:ascii="宋体" w:eastAsia="宋体" w:hAnsi="宋体" w:cs="宋体"/>
          <w:b/>
          <w:bCs/>
          <w:sz w:val="18"/>
          <w:szCs w:val="18"/>
        </w:rPr>
      </w:pPr>
      <w:bookmarkStart w:id="260" w:name="_Toc989150"/>
      <w:r>
        <w:rPr>
          <w:rFonts w:ascii="宋体" w:eastAsia="宋体" w:hAnsi="宋体" w:cs="宋体"/>
          <w:b/>
          <w:bCs/>
          <w:sz w:val="18"/>
          <w:szCs w:val="18"/>
        </w:rPr>
        <w:t>（2） 账龄超过1年的重要应付账款</w:t>
      </w:r>
      <w:bookmarkEnd w:id="26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未偿还或结转的原因</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lastRenderedPageBreak/>
              <w:t>应付工程款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3,499,571.29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工程质保金</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3,499,571.29</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61" w:name="_Toc989151"/>
      <w:r>
        <w:rPr>
          <w:rFonts w:ascii="宋体" w:hAnsi="宋体" w:cs="宋体"/>
          <w:b/>
          <w:bCs/>
        </w:rPr>
        <w:t>18、预收款项</w:t>
      </w:r>
      <w:bookmarkEnd w:id="261"/>
    </w:p>
    <w:p w:rsidR="0080594E" w:rsidRDefault="000C39A3">
      <w:pPr>
        <w:keepNext/>
        <w:keepLines/>
        <w:spacing w:before="300" w:after="300" w:line="280" w:lineRule="exact"/>
        <w:outlineLvl w:val="3"/>
        <w:rPr>
          <w:rFonts w:ascii="宋体" w:eastAsia="宋体" w:hAnsi="宋体" w:cs="宋体"/>
          <w:b/>
          <w:bCs/>
          <w:sz w:val="18"/>
          <w:szCs w:val="18"/>
        </w:rPr>
      </w:pPr>
      <w:bookmarkStart w:id="262" w:name="_Toc989152"/>
      <w:r>
        <w:rPr>
          <w:rFonts w:ascii="宋体" w:eastAsia="宋体" w:hAnsi="宋体" w:cs="宋体"/>
          <w:b/>
          <w:bCs/>
          <w:sz w:val="18"/>
          <w:szCs w:val="18"/>
        </w:rPr>
        <w:t>（1） 预收款项列示</w:t>
      </w:r>
      <w:bookmarkEnd w:id="26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预收租金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3,595,377.45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5,251,653.62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3,595,377.45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5,251,653.62</w:t>
            </w:r>
          </w:p>
        </w:tc>
      </w:tr>
    </w:tbl>
    <w:p w:rsidR="0080594E" w:rsidRDefault="000C39A3">
      <w:pPr>
        <w:keepNext/>
        <w:keepLines/>
        <w:spacing w:before="300" w:after="300" w:line="280" w:lineRule="exact"/>
        <w:outlineLvl w:val="3"/>
        <w:rPr>
          <w:rFonts w:ascii="宋体" w:eastAsia="宋体" w:hAnsi="宋体" w:cs="宋体"/>
          <w:b/>
          <w:bCs/>
          <w:sz w:val="18"/>
          <w:szCs w:val="18"/>
        </w:rPr>
      </w:pPr>
      <w:bookmarkStart w:id="263" w:name="_Toc989153"/>
      <w:r>
        <w:rPr>
          <w:rFonts w:ascii="宋体" w:eastAsia="宋体" w:hAnsi="宋体" w:cs="宋体"/>
          <w:b/>
          <w:bCs/>
          <w:sz w:val="18"/>
          <w:szCs w:val="18"/>
        </w:rPr>
        <w:t>（2） 账龄超过1年的重要预收款项</w:t>
      </w:r>
      <w:bookmarkEnd w:id="26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未偿还或结转的原因</w:t>
            </w:r>
          </w:p>
        </w:tc>
      </w:tr>
    </w:tbl>
    <w:p w:rsidR="0080594E" w:rsidRDefault="000C39A3">
      <w:pPr>
        <w:pStyle w:val="3"/>
        <w:spacing w:line="280" w:lineRule="exact"/>
        <w:jc w:val="left"/>
        <w:rPr>
          <w:rFonts w:ascii="宋体" w:hAnsi="宋体" w:cs="宋体"/>
          <w:b/>
          <w:bCs/>
        </w:rPr>
      </w:pPr>
      <w:bookmarkStart w:id="264" w:name="_Toc989154"/>
      <w:r>
        <w:rPr>
          <w:rFonts w:ascii="宋体" w:hAnsi="宋体" w:cs="宋体"/>
          <w:b/>
          <w:bCs/>
        </w:rPr>
        <w:t>19、合同负债</w:t>
      </w:r>
      <w:bookmarkEnd w:id="26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预提销售返利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185,976,320.57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164,288,744.79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预收商品款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32,610,463.21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22,907,615.35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218,586,783.78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187,196,360.14</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报告期内账面价值发生重大变动的金额和原因</w:t>
      </w:r>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0"/>
        <w:gridCol w:w="820"/>
        <w:gridCol w:w="7999"/>
      </w:tblGrid>
      <w:tr w:rsidR="0080594E">
        <w:trPr>
          <w:trHeight w:val="240"/>
        </w:trPr>
        <w:tc>
          <w:tcPr>
            <w:tcW w:w="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变动金额</w:t>
            </w:r>
          </w:p>
        </w:tc>
        <w:tc>
          <w:tcPr>
            <w:tcW w:w="800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变动原因</w:t>
            </w:r>
          </w:p>
        </w:tc>
      </w:tr>
    </w:tbl>
    <w:p w:rsidR="0080594E" w:rsidRDefault="000C39A3">
      <w:pPr>
        <w:pStyle w:val="3"/>
        <w:spacing w:line="280" w:lineRule="exact"/>
        <w:jc w:val="left"/>
        <w:rPr>
          <w:rFonts w:ascii="宋体" w:hAnsi="宋体" w:cs="宋体"/>
          <w:b/>
          <w:bCs/>
        </w:rPr>
      </w:pPr>
      <w:bookmarkStart w:id="265" w:name="_Toc989155"/>
      <w:r>
        <w:rPr>
          <w:rFonts w:ascii="宋体" w:hAnsi="宋体" w:cs="宋体"/>
          <w:b/>
          <w:bCs/>
        </w:rPr>
        <w:t>20、应付职工薪酬</w:t>
      </w:r>
      <w:bookmarkEnd w:id="265"/>
    </w:p>
    <w:p w:rsidR="0080594E" w:rsidRDefault="000C39A3">
      <w:pPr>
        <w:keepNext/>
        <w:keepLines/>
        <w:spacing w:before="300" w:after="300" w:line="280" w:lineRule="exact"/>
        <w:outlineLvl w:val="3"/>
        <w:rPr>
          <w:rFonts w:ascii="宋体" w:eastAsia="宋体" w:hAnsi="宋体" w:cs="宋体"/>
          <w:b/>
          <w:bCs/>
          <w:szCs w:val="21"/>
        </w:rPr>
      </w:pPr>
      <w:bookmarkStart w:id="266" w:name="_Toc989156"/>
      <w:r>
        <w:rPr>
          <w:rFonts w:ascii="宋体" w:eastAsia="宋体" w:hAnsi="宋体" w:cs="宋体"/>
          <w:b/>
          <w:bCs/>
          <w:szCs w:val="21"/>
        </w:rPr>
        <w:t>（1） 应付职工薪酬列示</w:t>
      </w:r>
      <w:bookmarkEnd w:id="266"/>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一、短期薪酬</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22,162,496.24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105,307,431.48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105,861,808.99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21,608,118.73</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二、离职后福利-设定提存计划</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4,429,772.13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4,429,772.13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22,162,496.24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109,737,203.61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110,291,581.12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21,608,118.73</w:t>
            </w:r>
          </w:p>
        </w:tc>
      </w:tr>
    </w:tbl>
    <w:p w:rsidR="0080594E" w:rsidRDefault="000C39A3">
      <w:pPr>
        <w:keepNext/>
        <w:keepLines/>
        <w:spacing w:before="300" w:after="300" w:line="280" w:lineRule="exact"/>
        <w:outlineLvl w:val="3"/>
        <w:rPr>
          <w:rFonts w:ascii="宋体" w:eastAsia="宋体" w:hAnsi="宋体" w:cs="宋体"/>
          <w:b/>
          <w:bCs/>
          <w:szCs w:val="21"/>
        </w:rPr>
      </w:pPr>
      <w:bookmarkStart w:id="267" w:name="_Toc989157"/>
      <w:r>
        <w:rPr>
          <w:rFonts w:ascii="宋体" w:eastAsia="宋体" w:hAnsi="宋体" w:cs="宋体"/>
          <w:b/>
          <w:bCs/>
          <w:szCs w:val="21"/>
        </w:rPr>
        <w:t>（2） 短期薪酬列示</w:t>
      </w:r>
      <w:bookmarkEnd w:id="26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1、工资、奖金、津贴</w:t>
            </w:r>
            <w:r>
              <w:rPr>
                <w:rFonts w:ascii="宋体" w:eastAsia="宋体" w:hAnsi="宋体" w:cs="宋体"/>
                <w:sz w:val="18"/>
                <w:szCs w:val="18"/>
              </w:rPr>
              <w:lastRenderedPageBreak/>
              <w:t>和补贴</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lastRenderedPageBreak/>
              <w:t>22,162,496.24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95,178,837.15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95,733,214.66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21,608,118.73</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2、职工福利费</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5,106,651.97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5,106,651.97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3、社会保险费</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2,165,146.39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2,165,146.39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其中：医疗保险费</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1,648,881.78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1,648,881.78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工伤保险费</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234,687.89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234,687.89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生育保险费</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281,576.72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281,576.72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4、住房公积金</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1,438,832.00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1,438,832.00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5、工会经费和职工教育经费</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1,417,963.97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1,417,963.97</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22,162,496.24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105,307,431.48</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105,861,808.99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21,608,118.73</w:t>
            </w:r>
          </w:p>
        </w:tc>
      </w:tr>
    </w:tbl>
    <w:p w:rsidR="0080594E" w:rsidRDefault="000C39A3">
      <w:pPr>
        <w:keepNext/>
        <w:keepLines/>
        <w:spacing w:before="300" w:after="300" w:line="280" w:lineRule="exact"/>
        <w:outlineLvl w:val="3"/>
        <w:rPr>
          <w:rFonts w:ascii="宋体" w:eastAsia="宋体" w:hAnsi="宋体" w:cs="宋体"/>
          <w:b/>
          <w:bCs/>
          <w:szCs w:val="21"/>
        </w:rPr>
      </w:pPr>
      <w:bookmarkStart w:id="268" w:name="_Toc989158"/>
      <w:r>
        <w:rPr>
          <w:rFonts w:ascii="宋体" w:eastAsia="宋体" w:hAnsi="宋体" w:cs="宋体"/>
          <w:b/>
          <w:bCs/>
          <w:szCs w:val="21"/>
        </w:rPr>
        <w:t>（3） 设定提存计划列示</w:t>
      </w:r>
      <w:bookmarkEnd w:id="26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1、基本养老保险</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4,299,410.82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4,299,410.82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2、失业保险费</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130,361.31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130,361.31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4,429,772.13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4,429,772.13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69" w:name="_Toc989159"/>
      <w:r>
        <w:rPr>
          <w:rFonts w:ascii="宋体" w:hAnsi="宋体" w:cs="宋体"/>
          <w:b/>
          <w:bCs/>
        </w:rPr>
        <w:t>21、应交税费</w:t>
      </w:r>
      <w:bookmarkEnd w:id="26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1,225,465.19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2,128,948.87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9,440,643.66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16,316,392.90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个人所得税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808,742.62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285,935.84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97,026.27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154,676.17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58,215.76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92,805.70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38,810.50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61,870.47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1,848,659.75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325,961.09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城镇土地使用税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295,466.47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38,271.48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13,813,030.22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19,404,862.52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70" w:name="_Toc989160"/>
      <w:r>
        <w:rPr>
          <w:rFonts w:ascii="宋体" w:hAnsi="宋体" w:cs="宋体"/>
          <w:b/>
          <w:bCs/>
        </w:rPr>
        <w:t>22、其他应付款</w:t>
      </w:r>
      <w:bookmarkEnd w:id="27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6,641,398.14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6,184,526.15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6,641,398.14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6,184,526.15</w:t>
            </w:r>
          </w:p>
        </w:tc>
      </w:tr>
    </w:tbl>
    <w:p w:rsidR="0080594E" w:rsidRDefault="000C39A3">
      <w:pPr>
        <w:keepNext/>
        <w:keepLines/>
        <w:spacing w:before="300" w:after="300" w:line="280" w:lineRule="exact"/>
        <w:outlineLvl w:val="3"/>
        <w:rPr>
          <w:rFonts w:ascii="宋体" w:eastAsia="宋体" w:hAnsi="宋体" w:cs="宋体"/>
          <w:b/>
          <w:bCs/>
          <w:sz w:val="18"/>
          <w:szCs w:val="18"/>
        </w:rPr>
      </w:pPr>
      <w:bookmarkStart w:id="271" w:name="_Toc989161"/>
      <w:r>
        <w:rPr>
          <w:rFonts w:ascii="宋体" w:eastAsia="宋体" w:hAnsi="宋体" w:cs="宋体"/>
          <w:b/>
          <w:bCs/>
          <w:sz w:val="18"/>
          <w:szCs w:val="18"/>
        </w:rPr>
        <w:t>（1） 应付利息</w:t>
      </w:r>
      <w:bookmarkEnd w:id="27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bl>
    <w:p w:rsidR="0080594E" w:rsidRDefault="000C39A3">
      <w:pPr>
        <w:spacing w:line="240" w:lineRule="exact"/>
        <w:rPr>
          <w:rFonts w:ascii="宋体" w:eastAsia="宋体" w:hAnsi="宋体" w:cs="宋体"/>
          <w:sz w:val="18"/>
          <w:szCs w:val="18"/>
        </w:rPr>
      </w:pPr>
      <w:r>
        <w:rPr>
          <w:rFonts w:ascii="宋体" w:eastAsia="宋体" w:hAnsi="宋体" w:cs="宋体"/>
          <w:sz w:val="18"/>
          <w:szCs w:val="18"/>
        </w:rPr>
        <w:t>重要的已逾期未支付的利息情况：</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借款单位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逾期金额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逾期原因</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keepNext/>
        <w:keepLines/>
        <w:spacing w:before="300" w:after="300" w:line="280" w:lineRule="exact"/>
        <w:outlineLvl w:val="3"/>
        <w:rPr>
          <w:rFonts w:ascii="宋体" w:eastAsia="宋体" w:hAnsi="宋体" w:cs="宋体"/>
          <w:b/>
          <w:bCs/>
          <w:sz w:val="18"/>
          <w:szCs w:val="18"/>
        </w:rPr>
      </w:pPr>
      <w:bookmarkStart w:id="272" w:name="_Toc989162"/>
      <w:r>
        <w:rPr>
          <w:rFonts w:ascii="宋体" w:eastAsia="宋体" w:hAnsi="宋体" w:cs="宋体"/>
          <w:b/>
          <w:bCs/>
          <w:sz w:val="18"/>
          <w:szCs w:val="18"/>
        </w:rPr>
        <w:t>（2） 应付股利</w:t>
      </w:r>
      <w:bookmarkEnd w:id="27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其他说明，包括重要的超过1年未支付的应付股利，应披露未支付原因：</w:t>
      </w:r>
    </w:p>
    <w:p w:rsidR="0080594E" w:rsidRDefault="0080594E"/>
    <w:p w:rsidR="0080594E" w:rsidRDefault="000C39A3">
      <w:pPr>
        <w:keepNext/>
        <w:keepLines/>
        <w:spacing w:before="300" w:after="300" w:line="280" w:lineRule="exact"/>
        <w:outlineLvl w:val="3"/>
        <w:rPr>
          <w:rFonts w:ascii="宋体" w:eastAsia="宋体" w:hAnsi="宋体" w:cs="宋体"/>
          <w:b/>
          <w:bCs/>
          <w:sz w:val="18"/>
          <w:szCs w:val="18"/>
        </w:rPr>
      </w:pPr>
      <w:bookmarkStart w:id="273" w:name="_Toc989163"/>
      <w:r>
        <w:rPr>
          <w:rFonts w:ascii="宋体" w:eastAsia="宋体" w:hAnsi="宋体" w:cs="宋体"/>
          <w:b/>
          <w:bCs/>
          <w:sz w:val="18"/>
          <w:szCs w:val="18"/>
        </w:rPr>
        <w:t>（3） 其他应付款</w:t>
      </w:r>
      <w:bookmarkEnd w:id="273"/>
    </w:p>
    <w:p w:rsidR="0080594E" w:rsidRDefault="000C39A3">
      <w:pPr>
        <w:keepNext/>
        <w:keepLines/>
        <w:spacing w:before="300" w:after="300" w:line="280" w:lineRule="exact"/>
        <w:outlineLvl w:val="4"/>
        <w:rPr>
          <w:rFonts w:ascii="宋体" w:eastAsia="宋体" w:hAnsi="宋体" w:cs="宋体"/>
          <w:b/>
          <w:bCs/>
          <w:sz w:val="18"/>
          <w:szCs w:val="18"/>
        </w:rPr>
      </w:pPr>
      <w:bookmarkStart w:id="274" w:name="_Toc989164"/>
      <w:r>
        <w:rPr>
          <w:rFonts w:ascii="宋体" w:eastAsia="宋体" w:hAnsi="宋体" w:cs="宋体"/>
          <w:b/>
          <w:bCs/>
          <w:sz w:val="18"/>
          <w:szCs w:val="18"/>
        </w:rPr>
        <w:t>1） 按款项性质列示其他应付款</w:t>
      </w:r>
      <w:bookmarkEnd w:id="27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6,527,622.63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5,560,969.13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代垫代收款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113,775.51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623,557.02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6,641,398.14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6,184,526.15</w:t>
            </w:r>
          </w:p>
        </w:tc>
      </w:tr>
    </w:tbl>
    <w:p w:rsidR="0080594E" w:rsidRDefault="000C39A3">
      <w:pPr>
        <w:keepNext/>
        <w:keepLines/>
        <w:spacing w:before="300" w:after="300" w:line="280" w:lineRule="exact"/>
        <w:outlineLvl w:val="4"/>
        <w:rPr>
          <w:rFonts w:ascii="宋体" w:eastAsia="宋体" w:hAnsi="宋体" w:cs="宋体"/>
          <w:b/>
          <w:bCs/>
          <w:sz w:val="18"/>
          <w:szCs w:val="18"/>
        </w:rPr>
      </w:pPr>
      <w:bookmarkStart w:id="275" w:name="_Toc989165"/>
      <w:r>
        <w:rPr>
          <w:rFonts w:ascii="宋体" w:eastAsia="宋体" w:hAnsi="宋体" w:cs="宋体"/>
          <w:b/>
          <w:bCs/>
          <w:sz w:val="18"/>
          <w:szCs w:val="18"/>
        </w:rPr>
        <w:t>2） 账龄超过1年的重要其他应付款</w:t>
      </w:r>
      <w:bookmarkEnd w:id="27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未偿还或结转的原因</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5,367,622.63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租赁保证金</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5,367,622.63</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76" w:name="_Toc989166"/>
      <w:r>
        <w:rPr>
          <w:rFonts w:ascii="宋体" w:hAnsi="宋体" w:cs="宋体"/>
          <w:b/>
          <w:bCs/>
        </w:rPr>
        <w:t>23、其他流动负债</w:t>
      </w:r>
      <w:bookmarkEnd w:id="276"/>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待转销项税额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4,654,533.05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3,810,681.08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4,654,533.05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3,810,681.08</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短期应付债券的增减变动：</w:t>
      </w:r>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4"/>
        <w:gridCol w:w="804"/>
        <w:gridCol w:w="804"/>
        <w:gridCol w:w="803"/>
        <w:gridCol w:w="803"/>
        <w:gridCol w:w="803"/>
        <w:gridCol w:w="803"/>
        <w:gridCol w:w="803"/>
        <w:gridCol w:w="803"/>
        <w:gridCol w:w="803"/>
        <w:gridCol w:w="803"/>
        <w:gridCol w:w="803"/>
      </w:tblGrid>
      <w:tr w:rsidR="0080594E" w:rsidTr="008071B9">
        <w:trPr>
          <w:trHeight w:val="240"/>
        </w:trPr>
        <w:tc>
          <w:tcPr>
            <w:tcW w:w="80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债券名称</w:t>
            </w:r>
          </w:p>
        </w:tc>
        <w:tc>
          <w:tcPr>
            <w:tcW w:w="80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面值</w:t>
            </w:r>
          </w:p>
        </w:tc>
        <w:tc>
          <w:tcPr>
            <w:tcW w:w="804"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发行日期</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债券期限</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发行金额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本期发行</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按面值计提利息</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溢折价摊销</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本期偿还</w:t>
            </w:r>
          </w:p>
        </w:tc>
        <w:tc>
          <w:tcPr>
            <w:tcW w:w="80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center"/>
              <w:rPr>
                <w:rFonts w:ascii="宋体" w:eastAsia="宋体" w:hAnsi="宋体" w:cs="宋体"/>
                <w:sz w:val="18"/>
                <w:szCs w:val="18"/>
              </w:rPr>
            </w:pP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bl>
    <w:p w:rsidR="0080594E" w:rsidRDefault="000C39A3" w:rsidP="008071B9">
      <w:pPr>
        <w:spacing w:before="100" w:after="100" w:line="240" w:lineRule="exact"/>
      </w:pPr>
      <w:r>
        <w:rPr>
          <w:rFonts w:ascii="宋体" w:eastAsia="宋体" w:hAnsi="宋体" w:cs="宋体"/>
          <w:sz w:val="18"/>
          <w:szCs w:val="18"/>
        </w:rPr>
        <w:t>其他说明：</w:t>
      </w:r>
      <w:r w:rsidR="00390B70">
        <w:rPr>
          <w:rFonts w:ascii="宋体" w:eastAsia="宋体" w:hAnsi="宋体" w:cs="宋体" w:hint="eastAsia"/>
          <w:sz w:val="18"/>
          <w:szCs w:val="18"/>
        </w:rPr>
        <w:t>无</w:t>
      </w:r>
    </w:p>
    <w:p w:rsidR="0080594E" w:rsidRDefault="000C39A3">
      <w:pPr>
        <w:pStyle w:val="3"/>
        <w:spacing w:line="280" w:lineRule="exact"/>
        <w:jc w:val="left"/>
        <w:rPr>
          <w:rFonts w:ascii="宋体" w:hAnsi="宋体" w:cs="宋体"/>
          <w:b/>
          <w:bCs/>
        </w:rPr>
      </w:pPr>
      <w:bookmarkStart w:id="277" w:name="_Toc989167"/>
      <w:r>
        <w:rPr>
          <w:rFonts w:ascii="宋体" w:hAnsi="宋体" w:cs="宋体"/>
          <w:b/>
          <w:bCs/>
        </w:rPr>
        <w:t>24、递延收益</w:t>
      </w:r>
      <w:bookmarkEnd w:id="27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政府补助</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17,670,844.39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6,710,000.00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3,175,417.85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21,205,426.54</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详见附注七、50</w:t>
            </w:r>
          </w:p>
        </w:tc>
      </w:tr>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17,670,844.39</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6,710,000.00</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3,175,417.85</w:t>
            </w:r>
          </w:p>
        </w:tc>
        <w:tc>
          <w:tcPr>
            <w:tcW w:w="1606"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21,205,426.54</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涉及政府补助的项目：</w:t>
      </w:r>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80594E">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负债项目</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本期新增补助金额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本期计入营业外收入金额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本期计入其他收益金额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本期冲减成本费用金额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与资产相关/与收益相关</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78" w:name="_Toc989168"/>
      <w:r>
        <w:rPr>
          <w:rFonts w:ascii="宋体" w:hAnsi="宋体" w:cs="宋体"/>
          <w:b/>
          <w:bCs/>
        </w:rPr>
        <w:t>25、股本</w:t>
      </w:r>
      <w:bookmarkEnd w:id="27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80594E">
        <w:trPr>
          <w:trHeight w:val="240"/>
        </w:trPr>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6024"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本次变动增减（+、-）</w:t>
            </w: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发行新股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送股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公积金转股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股份总数</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378,912,000.00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79" w:name="_Toc989169"/>
      <w:r>
        <w:rPr>
          <w:rFonts w:ascii="宋体" w:hAnsi="宋体" w:cs="宋体"/>
          <w:b/>
          <w:bCs/>
        </w:rPr>
        <w:t>26、资本公积</w:t>
      </w:r>
      <w:bookmarkEnd w:id="27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资本溢价（股本溢价）</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353,110,633.13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353,110,633.13</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其他资本公积</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1,490,000.00</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1,490,000.00</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354,600,633.13</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其他说明，包括本期增减变动情况、变动原因说明：</w:t>
      </w:r>
    </w:p>
    <w:p w:rsidR="0080594E" w:rsidRDefault="0080594E"/>
    <w:p w:rsidR="0080594E" w:rsidRDefault="000C39A3">
      <w:pPr>
        <w:pStyle w:val="3"/>
        <w:spacing w:line="280" w:lineRule="exact"/>
        <w:jc w:val="left"/>
        <w:rPr>
          <w:rFonts w:ascii="宋体" w:hAnsi="宋体" w:cs="宋体"/>
          <w:b/>
          <w:bCs/>
        </w:rPr>
      </w:pPr>
      <w:bookmarkStart w:id="280" w:name="_Toc989170"/>
      <w:r>
        <w:rPr>
          <w:rFonts w:ascii="宋体" w:hAnsi="宋体" w:cs="宋体"/>
          <w:b/>
          <w:bCs/>
        </w:rPr>
        <w:t>27、盈余公积</w:t>
      </w:r>
      <w:bookmarkEnd w:id="28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法定盈余公积</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70,922,206.85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86,900,468.86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70,922,206.85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86,900,468.86</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盈余公积说明，包括本期增减变动情况、变动原因说明：</w:t>
      </w:r>
    </w:p>
    <w:p w:rsidR="000C39A3" w:rsidRDefault="000C39A3">
      <w:pPr>
        <w:pStyle w:val="a4"/>
        <w:spacing w:before="120" w:beforeAutospacing="0" w:after="0" w:afterAutospacing="0" w:line="360" w:lineRule="auto"/>
        <w:ind w:firstLine="480"/>
        <w:jc w:val="both"/>
        <w:divId w:val="1778787401"/>
        <w:rPr>
          <w:rFonts w:ascii="Times New Roman" w:hAnsi="Times New Roman" w:cs="Times New Roman"/>
          <w:sz w:val="21"/>
          <w:szCs w:val="21"/>
        </w:rPr>
      </w:pPr>
      <w:r>
        <w:rPr>
          <w:rFonts w:cs="Times New Roman" w:hint="eastAsia"/>
          <w:color w:val="000000"/>
        </w:rPr>
        <w:t>本期盈余公积增加系本公司按《公司法》及本公司章程有关规定，按本期净利润</w:t>
      </w:r>
      <w:r>
        <w:rPr>
          <w:rFonts w:ascii="Times New Roman" w:hAnsi="Times New Roman" w:cs="Times New Roman"/>
          <w:color w:val="000000"/>
        </w:rPr>
        <w:t>10</w:t>
      </w:r>
      <w:r>
        <w:rPr>
          <w:rFonts w:cs="Times New Roman" w:hint="eastAsia"/>
          <w:color w:val="000000"/>
        </w:rPr>
        <w:t>％提取法定盈余公积金。</w:t>
      </w:r>
    </w:p>
    <w:p w:rsidR="0080594E" w:rsidRDefault="000C39A3">
      <w:pPr>
        <w:pStyle w:val="3"/>
        <w:spacing w:line="280" w:lineRule="exact"/>
        <w:jc w:val="left"/>
        <w:rPr>
          <w:rFonts w:ascii="宋体" w:hAnsi="宋体" w:cs="宋体"/>
          <w:b/>
          <w:bCs/>
        </w:rPr>
      </w:pPr>
      <w:bookmarkStart w:id="281" w:name="_Toc989171"/>
      <w:r>
        <w:rPr>
          <w:rFonts w:ascii="宋体" w:hAnsi="宋体" w:cs="宋体"/>
          <w:b/>
          <w:bCs/>
        </w:rPr>
        <w:t>28、未分配利润</w:t>
      </w:r>
      <w:bookmarkEnd w:id="28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调整前上期末未分配利润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192,118,174.56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调整后期初未分配利润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192,118,174.56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加：本期归属于母公司所有者的净利润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减：提取法定盈余公积</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应付普通股股利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75,782,400.00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60,625,920.00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362,224,842.54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294,202,884.45</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调整期初未分配利润明细：</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1)、由于《企业会计准则》及其相关新规定进行追溯调整，影响期初未分配利润0.00元。</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2)、由于会计政策变更，影响期初未分配利润0.00元。</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3)、由于重大会计差错更正，影响期初未分配利润0.00元。</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4)、由于同一控制导致的合并范围变更，影响期初未分配利润0.00元。</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5)、其他调整合计影响期初未分配利润0.00元。</w:t>
      </w:r>
    </w:p>
    <w:p w:rsidR="0080594E" w:rsidRDefault="000C39A3">
      <w:pPr>
        <w:pStyle w:val="3"/>
        <w:spacing w:line="280" w:lineRule="exact"/>
        <w:jc w:val="left"/>
        <w:rPr>
          <w:rFonts w:ascii="宋体" w:hAnsi="宋体" w:cs="宋体"/>
          <w:b/>
          <w:bCs/>
        </w:rPr>
      </w:pPr>
      <w:bookmarkStart w:id="282" w:name="_Toc989172"/>
      <w:r>
        <w:rPr>
          <w:rFonts w:ascii="宋体" w:hAnsi="宋体" w:cs="宋体"/>
          <w:b/>
          <w:bCs/>
        </w:rPr>
        <w:t>29、营业收入和营业成本</w:t>
      </w:r>
      <w:bookmarkEnd w:id="28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主营业务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534,148,817.83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888,974,759.04</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595,063,083.86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其他业务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20,117,643.36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5,585,042.26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4,259,417.12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484,873.56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794,880,440.45</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539,733,860.09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893,234,176.16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595,547,957.42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经审计扣除非经常损益前后净利润孰低是否为负值</w:t>
      </w:r>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收入相关信息：</w:t>
      </w:r>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合同分类</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分部1</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分部2</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center"/>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商品类型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其中：</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螺杆机</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611,056,042.83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611,056,042.83</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其他产品</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163,706,754.26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163,706,754.26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lastRenderedPageBreak/>
              <w:t>按经营地区分类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境内</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728,510,383.33</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728,510,383.33</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境外</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46,252,413.76</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46,252,413.76</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市场或客户类型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合同类型</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按商品转让的时间分类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按合同期限分类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按销售渠道分类</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774,762,797.09</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与履约义务相关的信息：</w:t>
      </w:r>
    </w:p>
    <w:p w:rsidR="000C39A3" w:rsidRDefault="000C39A3">
      <w:pPr>
        <w:pStyle w:val="a4"/>
        <w:divId w:val="414790779"/>
        <w:rPr>
          <w:sz w:val="18"/>
          <w:szCs w:val="18"/>
        </w:rPr>
      </w:pPr>
      <w:r>
        <w:rPr>
          <w:rFonts w:hint="eastAsia"/>
          <w:sz w:val="18"/>
          <w:szCs w:val="18"/>
        </w:rPr>
        <w:t>无</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与分摊至剩余履约义务的交易价格相关的信息：</w:t>
      </w:r>
    </w:p>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本报告期末已签订合同、但尚未履行或尚未履行完毕的履约义务所对应的收入金额为3,584,892.56元，其中，3,584,892.56元预计将于2023年度确认收入</w:t>
      </w:r>
      <w:r w:rsidR="001F3404">
        <w:rPr>
          <w:rFonts w:ascii="宋体" w:eastAsia="宋体" w:hAnsi="宋体" w:cs="宋体"/>
          <w:sz w:val="18"/>
          <w:szCs w:val="18"/>
        </w:rPr>
        <w:t>。</w:t>
      </w:r>
    </w:p>
    <w:p w:rsidR="000C39A3" w:rsidRDefault="000C39A3" w:rsidP="008071B9">
      <w:pPr>
        <w:spacing w:before="100" w:after="100" w:line="240" w:lineRule="exact"/>
      </w:pPr>
      <w:r>
        <w:rPr>
          <w:rFonts w:ascii="宋体" w:eastAsia="宋体" w:hAnsi="宋体" w:cs="宋体"/>
          <w:sz w:val="18"/>
          <w:szCs w:val="18"/>
        </w:rPr>
        <w:t>其他说明：</w:t>
      </w:r>
      <w:r>
        <w:rPr>
          <w:rFonts w:hint="eastAsia"/>
        </w:rPr>
        <w:t>无</w:t>
      </w:r>
    </w:p>
    <w:p w:rsidR="0080594E" w:rsidRDefault="000C39A3">
      <w:pPr>
        <w:pStyle w:val="3"/>
        <w:spacing w:line="280" w:lineRule="exact"/>
        <w:jc w:val="left"/>
        <w:rPr>
          <w:rFonts w:ascii="宋体" w:hAnsi="宋体" w:cs="宋体"/>
          <w:b/>
          <w:bCs/>
        </w:rPr>
      </w:pPr>
      <w:bookmarkStart w:id="283" w:name="_Toc989173"/>
      <w:r>
        <w:rPr>
          <w:rFonts w:ascii="宋体" w:hAnsi="宋体" w:cs="宋体"/>
          <w:b/>
          <w:bCs/>
        </w:rPr>
        <w:t>30、税金及附加</w:t>
      </w:r>
      <w:bookmarkEnd w:id="28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2,108,313.77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2,005,598.96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1,264,988.26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1,203,359.38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3,271,074.98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1,024,758.67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467,728.59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148,931.42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车船使用税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9,073.44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8,173.44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印花税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593,460.33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354,150.50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843,325.50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802,239.58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环保税</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1,387.43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1,591.85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8,559,352.30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5,548,803.80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84" w:name="_Toc989174"/>
      <w:r>
        <w:rPr>
          <w:rFonts w:ascii="宋体" w:hAnsi="宋体" w:cs="宋体"/>
          <w:b/>
          <w:bCs/>
        </w:rPr>
        <w:lastRenderedPageBreak/>
        <w:t>31、销售费用</w:t>
      </w:r>
      <w:bookmarkEnd w:id="28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10,271,305.78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8,690,841.54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市场推广费用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8,924,483.04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9,146,155.70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咨询服务费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951,693.89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219,358.50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差旅费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590,208.93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574,295.11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379,139.91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374,657.30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办公费用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125,556.34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169,886.40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21,242,387.89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19,175,194.55</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1690835051"/>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285" w:name="_Toc989175"/>
      <w:r>
        <w:rPr>
          <w:rFonts w:ascii="宋体" w:hAnsi="宋体" w:cs="宋体"/>
          <w:b/>
          <w:bCs/>
        </w:rPr>
        <w:t>32、管理费用</w:t>
      </w:r>
      <w:bookmarkEnd w:id="28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21,615,095.17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20,654,938.73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咨询服务费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7,775,312.95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11,477,896.41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3,528,721.88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2,987,405.86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1,188,687.36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1,726,559.15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办公费用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710,103.69</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8,071,339.26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差旅费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447,068.48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658,878.59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363,960.21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1,844,178.41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车辆费用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219,028.31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231,982.73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35,847,978.05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47,653,179.14</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1214775868"/>
        <w:rPr>
          <w:sz w:val="18"/>
          <w:szCs w:val="18"/>
        </w:rPr>
      </w:pPr>
      <w:r>
        <w:rPr>
          <w:rFonts w:hint="eastAsia"/>
          <w:sz w:val="18"/>
          <w:szCs w:val="18"/>
        </w:rPr>
        <w:t>2022年度管理费用较上年同比下降24.77%，主要系2021年公司举办30周年庆典及上市庆典费用，本年无该类费用。</w:t>
      </w:r>
    </w:p>
    <w:p w:rsidR="0080594E" w:rsidRDefault="000C39A3">
      <w:pPr>
        <w:pStyle w:val="3"/>
        <w:spacing w:line="280" w:lineRule="exact"/>
        <w:jc w:val="left"/>
        <w:rPr>
          <w:rFonts w:ascii="宋体" w:hAnsi="宋体" w:cs="宋体"/>
          <w:b/>
          <w:bCs/>
        </w:rPr>
      </w:pPr>
      <w:bookmarkStart w:id="286" w:name="_Toc989176"/>
      <w:r>
        <w:rPr>
          <w:rFonts w:ascii="宋体" w:hAnsi="宋体" w:cs="宋体"/>
          <w:b/>
          <w:bCs/>
        </w:rPr>
        <w:t>33、研发费用</w:t>
      </w:r>
      <w:bookmarkEnd w:id="286"/>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人工费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20,654,222.38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20,787,409.32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技术服务费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6,417,988.44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8,887,120.94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6,224,714.85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5,389,866.33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材料费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5,228,593.20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3,650,782.20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差旅费及其他</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1,537,063.61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681,904.42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40,062,582.48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39,397,083.21</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873689541"/>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287" w:name="_Toc989177"/>
      <w:r>
        <w:rPr>
          <w:rFonts w:ascii="宋体" w:hAnsi="宋体" w:cs="宋体"/>
          <w:b/>
          <w:bCs/>
        </w:rPr>
        <w:t>34、财务费用</w:t>
      </w:r>
      <w:bookmarkEnd w:id="28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4,504.21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减：利息收入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3,822,164.70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948,418.70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利息净支出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-3,822,164.70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-943,914.49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汇兑损失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2,838,715.47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2,856,132.32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减：汇兑收益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2,858,536.31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1,584,316.70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汇兑净损失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-19,820.84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1,271,815.62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银行手续费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213,637.56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300,457.02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-3,628,347.98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628,358.15</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744378355"/>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288" w:name="_Toc989178"/>
      <w:r>
        <w:rPr>
          <w:rFonts w:ascii="宋体" w:hAnsi="宋体" w:cs="宋体"/>
          <w:b/>
          <w:bCs/>
        </w:rPr>
        <w:t>35、其他收益</w:t>
      </w:r>
      <w:bookmarkEnd w:id="288"/>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产生其他收益的来源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一、计入其他收益的政府补助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21,039,247.48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19,381,080.61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其中：与递延收益相关的政府补助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3,175,417.85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2,155,951.88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直接计入当期损益的政府补助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17,863,829.63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17,225,128.73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二、其他与日常活动相关且计入其他收益的项目</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117,140.94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58,834.98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其中：个税扣缴税款手续费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117,140.94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58,834.98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21,156,388.42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19,439,915.59</w:t>
            </w:r>
          </w:p>
        </w:tc>
      </w:tr>
    </w:tbl>
    <w:p w:rsidR="0080594E" w:rsidRDefault="000C39A3">
      <w:pPr>
        <w:pStyle w:val="3"/>
        <w:spacing w:line="280" w:lineRule="exact"/>
        <w:jc w:val="left"/>
        <w:rPr>
          <w:rFonts w:ascii="宋体" w:hAnsi="宋体" w:cs="宋体"/>
          <w:b/>
          <w:bCs/>
        </w:rPr>
      </w:pPr>
      <w:bookmarkStart w:id="289" w:name="_Toc989179"/>
      <w:r>
        <w:rPr>
          <w:rFonts w:ascii="宋体" w:hAnsi="宋体" w:cs="宋体"/>
          <w:b/>
          <w:bCs/>
        </w:rPr>
        <w:t>36、投资收益</w:t>
      </w:r>
      <w:bookmarkEnd w:id="28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银行理财产品投资收益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7,928,211.07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7,928,211.07</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860171849"/>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290" w:name="_Toc989180"/>
      <w:r>
        <w:rPr>
          <w:rFonts w:ascii="宋体" w:hAnsi="宋体" w:cs="宋体"/>
          <w:b/>
          <w:bCs/>
        </w:rPr>
        <w:t>37、信用减值损失</w:t>
      </w:r>
      <w:bookmarkEnd w:id="29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其他应收款坏账损失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2,741.54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-12,176.55</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应收票据坏账损失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429,007.75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-796,828.57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应收账款坏账损失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385,465.63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-823,833.94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817,214.92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-1,632,839.06</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1106343220"/>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291" w:name="_Toc989181"/>
      <w:r>
        <w:rPr>
          <w:rFonts w:ascii="宋体" w:hAnsi="宋体" w:cs="宋体"/>
          <w:b/>
          <w:bCs/>
        </w:rPr>
        <w:lastRenderedPageBreak/>
        <w:t>38、资产减值损失</w:t>
      </w:r>
      <w:bookmarkEnd w:id="29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二、存货跌价损失及合同履约成本减值损失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-4,495,396.46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-7,233,409.62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-4,495,396.46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-7,233,409.62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92" w:name="_Toc989182"/>
      <w:r>
        <w:rPr>
          <w:rFonts w:ascii="宋体" w:hAnsi="宋体" w:cs="宋体"/>
          <w:b/>
          <w:bCs/>
        </w:rPr>
        <w:t>39、资产处置收益</w:t>
      </w:r>
      <w:bookmarkEnd w:id="29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资产处置收益的来源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处置未划分为持有待售的固定资产、在建工程、生产性生物资产及无形资产的处置利得或损失</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33,436.14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33,436.14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33,436.14</w:t>
            </w:r>
          </w:p>
        </w:tc>
      </w:tr>
    </w:tbl>
    <w:p w:rsidR="0080594E" w:rsidRDefault="000C39A3">
      <w:pPr>
        <w:pStyle w:val="3"/>
        <w:spacing w:line="280" w:lineRule="exact"/>
        <w:jc w:val="left"/>
        <w:rPr>
          <w:rFonts w:ascii="宋体" w:hAnsi="宋体" w:cs="宋体"/>
          <w:b/>
          <w:bCs/>
        </w:rPr>
      </w:pPr>
      <w:bookmarkStart w:id="293" w:name="_Toc989183"/>
      <w:r>
        <w:rPr>
          <w:rFonts w:ascii="宋体" w:hAnsi="宋体" w:cs="宋体"/>
          <w:b/>
          <w:bCs/>
        </w:rPr>
        <w:t>40、营业外收入</w:t>
      </w:r>
      <w:bookmarkEnd w:id="29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计入当期非经常性损益的金额</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商标维权补偿</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340,877.04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3,740,706.01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340,877.04</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7,791.75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151,034.64</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7,791.75</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348,668.79</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3,891,740.65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348,668.79</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计入当期损益的政府补助：</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80594E">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补助项目</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发放主体</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发放原因</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性质类型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补贴是否影响当年盈亏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是否特殊补贴</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与资产相关/与收益相关</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2110855761"/>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294" w:name="_Toc989184"/>
      <w:r>
        <w:rPr>
          <w:rFonts w:ascii="宋体" w:hAnsi="宋体" w:cs="宋体"/>
          <w:b/>
          <w:bCs/>
        </w:rPr>
        <w:t>41、营业外支出</w:t>
      </w:r>
      <w:bookmarkEnd w:id="29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计入当期非经常性损益的金额</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公益性捐赠支出</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950,000.00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1,362,000.00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950,000.00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非流动资产毁损报废损失</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131,835.41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29,060.33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131,835.41</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2,258.61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92.33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2,258.61</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1,084,094.02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1,391,152.66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1,084,094.02</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321159134"/>
        <w:rPr>
          <w:sz w:val="18"/>
          <w:szCs w:val="18"/>
        </w:rPr>
      </w:pPr>
      <w:r>
        <w:rPr>
          <w:rFonts w:hint="eastAsia"/>
          <w:sz w:val="18"/>
          <w:szCs w:val="18"/>
        </w:rPr>
        <w:lastRenderedPageBreak/>
        <w:t>无</w:t>
      </w:r>
    </w:p>
    <w:p w:rsidR="0080594E" w:rsidRDefault="000C39A3">
      <w:pPr>
        <w:pStyle w:val="3"/>
        <w:spacing w:line="280" w:lineRule="exact"/>
        <w:jc w:val="left"/>
        <w:rPr>
          <w:rFonts w:ascii="宋体" w:hAnsi="宋体" w:cs="宋体"/>
          <w:b/>
          <w:bCs/>
        </w:rPr>
      </w:pPr>
      <w:bookmarkStart w:id="295" w:name="_Toc989185"/>
      <w:r>
        <w:rPr>
          <w:rFonts w:ascii="宋体" w:hAnsi="宋体" w:cs="宋体"/>
          <w:b/>
          <w:bCs/>
        </w:rPr>
        <w:t>42、所得税费用</w:t>
      </w:r>
      <w:bookmarkEnd w:id="295"/>
    </w:p>
    <w:p w:rsidR="0080594E" w:rsidRDefault="000C39A3">
      <w:pPr>
        <w:keepNext/>
        <w:keepLines/>
        <w:spacing w:before="300" w:after="300" w:line="280" w:lineRule="exact"/>
        <w:outlineLvl w:val="3"/>
        <w:rPr>
          <w:rFonts w:ascii="宋体" w:eastAsia="宋体" w:hAnsi="宋体" w:cs="宋体"/>
          <w:b/>
          <w:bCs/>
          <w:szCs w:val="21"/>
        </w:rPr>
      </w:pPr>
      <w:bookmarkStart w:id="296" w:name="_Toc989186"/>
      <w:r>
        <w:rPr>
          <w:rFonts w:ascii="宋体" w:eastAsia="宋体" w:hAnsi="宋体" w:cs="宋体"/>
          <w:b/>
          <w:bCs/>
          <w:szCs w:val="21"/>
        </w:rPr>
        <w:t>（1） 所得税费用表</w:t>
      </w:r>
      <w:bookmarkEnd w:id="296"/>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当期所得税费用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25,285,014.66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37,249,876.89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递延所得税费用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-3,549,632.96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-11,719,963.66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21,735,381.70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25,529,913.23</w:t>
            </w:r>
          </w:p>
        </w:tc>
      </w:tr>
    </w:tbl>
    <w:p w:rsidR="0080594E" w:rsidRDefault="000C39A3">
      <w:pPr>
        <w:keepNext/>
        <w:keepLines/>
        <w:spacing w:before="300" w:after="300" w:line="280" w:lineRule="exact"/>
        <w:outlineLvl w:val="3"/>
        <w:rPr>
          <w:rFonts w:ascii="宋体" w:eastAsia="宋体" w:hAnsi="宋体" w:cs="宋体"/>
          <w:b/>
          <w:bCs/>
          <w:szCs w:val="21"/>
        </w:rPr>
      </w:pPr>
      <w:bookmarkStart w:id="297" w:name="_Toc989187"/>
      <w:r>
        <w:rPr>
          <w:rFonts w:ascii="宋体" w:eastAsia="宋体" w:hAnsi="宋体" w:cs="宋体"/>
          <w:b/>
          <w:bCs/>
          <w:szCs w:val="21"/>
        </w:rPr>
        <w:t>（2） 会计利润与所得税费用调整过程</w:t>
      </w:r>
      <w:bookmarkEnd w:id="29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利润总额</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181,518,001.80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按法定/适用税率计算的所得税费用</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27,227,700.27</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调整以前期间所得税的影响</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242,300.29</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不可抵扣的成本、费用和损失的影响</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29,046.13</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研发费用加计扣除</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-5,763,664.99</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所得税费用</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21,735,381.70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298" w:name="_Toc989188"/>
      <w:r>
        <w:rPr>
          <w:rFonts w:ascii="宋体" w:hAnsi="宋体" w:cs="宋体"/>
          <w:b/>
          <w:bCs/>
        </w:rPr>
        <w:t>43、其他综合收益</w:t>
      </w:r>
      <w:bookmarkEnd w:id="298"/>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详见附注。</w:t>
      </w:r>
    </w:p>
    <w:p w:rsidR="0080594E" w:rsidRDefault="000C39A3">
      <w:pPr>
        <w:pStyle w:val="3"/>
        <w:spacing w:line="280" w:lineRule="exact"/>
        <w:jc w:val="left"/>
        <w:rPr>
          <w:rFonts w:ascii="宋体" w:hAnsi="宋体" w:cs="宋体"/>
          <w:b/>
          <w:bCs/>
        </w:rPr>
      </w:pPr>
      <w:bookmarkStart w:id="299" w:name="_Toc989189"/>
      <w:r>
        <w:rPr>
          <w:rFonts w:ascii="宋体" w:hAnsi="宋体" w:cs="宋体"/>
          <w:b/>
          <w:bCs/>
        </w:rPr>
        <w:t>44、现金流量表项目</w:t>
      </w:r>
      <w:bookmarkEnd w:id="299"/>
    </w:p>
    <w:p w:rsidR="0080594E" w:rsidRDefault="000C39A3">
      <w:pPr>
        <w:keepNext/>
        <w:keepLines/>
        <w:spacing w:before="300" w:after="300" w:line="280" w:lineRule="exact"/>
        <w:outlineLvl w:val="3"/>
        <w:rPr>
          <w:rFonts w:ascii="宋体" w:eastAsia="宋体" w:hAnsi="宋体" w:cs="宋体"/>
          <w:b/>
          <w:bCs/>
          <w:szCs w:val="21"/>
        </w:rPr>
      </w:pPr>
      <w:bookmarkStart w:id="300" w:name="_Toc989190"/>
      <w:r>
        <w:rPr>
          <w:rFonts w:ascii="宋体" w:eastAsia="宋体" w:hAnsi="宋体" w:cs="宋体"/>
          <w:b/>
          <w:bCs/>
          <w:szCs w:val="21"/>
        </w:rPr>
        <w:t>（1） 收到的其他与经营活动有关的现金</w:t>
      </w:r>
      <w:bookmarkEnd w:id="300"/>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收到政府补助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18,895,630.75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15,531,072.19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收回保证金押金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17,142,723.50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11,378,231.63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房屋租金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16,717,491.50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7,824,969.13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3,822,164.70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948,418.70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备用金垫款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529,661.05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689,786.69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营业外收入</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434,068.95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3,743,344.52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57,541,740.45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40,115,822.86</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收到的其他与经营活动有关的现金说明：</w:t>
      </w:r>
    </w:p>
    <w:p w:rsidR="0080594E" w:rsidRDefault="0080594E"/>
    <w:p w:rsidR="0080594E" w:rsidRDefault="000C39A3">
      <w:pPr>
        <w:keepNext/>
        <w:keepLines/>
        <w:spacing w:before="300" w:after="300" w:line="280" w:lineRule="exact"/>
        <w:outlineLvl w:val="3"/>
        <w:rPr>
          <w:rFonts w:ascii="宋体" w:eastAsia="宋体" w:hAnsi="宋体" w:cs="宋体"/>
          <w:b/>
          <w:bCs/>
          <w:szCs w:val="21"/>
        </w:rPr>
      </w:pPr>
      <w:bookmarkStart w:id="301" w:name="_Toc989191"/>
      <w:r>
        <w:rPr>
          <w:rFonts w:ascii="宋体" w:eastAsia="宋体" w:hAnsi="宋体" w:cs="宋体"/>
          <w:b/>
          <w:bCs/>
          <w:szCs w:val="21"/>
        </w:rPr>
        <w:lastRenderedPageBreak/>
        <w:t>（2） 支付的其他与经营活动有关的现金</w:t>
      </w:r>
      <w:bookmarkEnd w:id="301"/>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期间费用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31,993,765.94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47,868,723.00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保证金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7,730,070.00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15,461,500.00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备用金垫款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939,779.08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500,655.66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银行手续费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124,690.01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300,457.02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捐赠支出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1,362,000.00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68.82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41,738,305.03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65,493,404.50</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支付的其他与经营活动有关的现金说明：</w:t>
      </w:r>
    </w:p>
    <w:p w:rsidR="000C39A3" w:rsidRDefault="000C39A3" w:rsidP="008071B9">
      <w:pPr>
        <w:pStyle w:val="a4"/>
        <w:spacing w:line="360" w:lineRule="auto"/>
        <w:ind w:firstLineChars="200" w:firstLine="480"/>
        <w:divId w:val="189879636"/>
        <w:rPr>
          <w:sz w:val="18"/>
          <w:szCs w:val="18"/>
        </w:rPr>
      </w:pPr>
      <w:r>
        <w:rPr>
          <w:rFonts w:ascii="Times New Roman" w:hAnsi="Times New Roman" w:cs="Times New Roman"/>
        </w:rPr>
        <w:t>2022</w:t>
      </w:r>
      <w:r>
        <w:rPr>
          <w:rFonts w:hint="eastAsia"/>
        </w:rPr>
        <w:t>年度“支付的其他与经营活动有关的现金”较上年同比下降</w:t>
      </w:r>
      <w:r>
        <w:rPr>
          <w:rFonts w:ascii="Times New Roman" w:hAnsi="Times New Roman" w:cs="Times New Roman"/>
        </w:rPr>
        <w:t>36.27%</w:t>
      </w:r>
      <w:r>
        <w:rPr>
          <w:rFonts w:hint="eastAsia"/>
        </w:rPr>
        <w:t>，主要系本年支付的期间费用较上年下降</w:t>
      </w:r>
      <w:r>
        <w:rPr>
          <w:rFonts w:ascii="Times New Roman" w:hAnsi="Times New Roman" w:cs="Times New Roman"/>
        </w:rPr>
        <w:t>1,587.50</w:t>
      </w:r>
      <w:r>
        <w:rPr>
          <w:rFonts w:hint="eastAsia"/>
        </w:rPr>
        <w:t>万元，其中，</w:t>
      </w:r>
      <w:r>
        <w:rPr>
          <w:rFonts w:ascii="Times New Roman" w:hAnsi="Times New Roman" w:cs="Times New Roman"/>
        </w:rPr>
        <w:t>2021</w:t>
      </w:r>
      <w:r>
        <w:rPr>
          <w:rFonts w:hint="eastAsia"/>
        </w:rPr>
        <w:t>年公司举办</w:t>
      </w:r>
      <w:r>
        <w:rPr>
          <w:rFonts w:ascii="Times New Roman" w:hAnsi="Times New Roman" w:cs="Times New Roman"/>
        </w:rPr>
        <w:t>30</w:t>
      </w:r>
      <w:r>
        <w:rPr>
          <w:rFonts w:hint="eastAsia"/>
        </w:rPr>
        <w:t>周年庆典及上市庆典费用</w:t>
      </w:r>
      <w:r>
        <w:rPr>
          <w:rFonts w:ascii="Times New Roman" w:hAnsi="Times New Roman" w:cs="Times New Roman"/>
        </w:rPr>
        <w:t>722.35</w:t>
      </w:r>
      <w:r>
        <w:rPr>
          <w:rFonts w:hint="eastAsia"/>
        </w:rPr>
        <w:t>万元，本年无该项费用支出；</w:t>
      </w:r>
      <w:r>
        <w:rPr>
          <w:rFonts w:ascii="Times New Roman" w:hAnsi="Times New Roman" w:cs="Times New Roman"/>
        </w:rPr>
        <w:t>2022</w:t>
      </w:r>
      <w:r>
        <w:rPr>
          <w:rFonts w:hint="eastAsia"/>
        </w:rPr>
        <w:t>年咨询服务费、研发技术服务费较上年分别减少</w:t>
      </w:r>
      <w:r>
        <w:rPr>
          <w:rFonts w:ascii="Times New Roman" w:hAnsi="Times New Roman" w:cs="Times New Roman"/>
        </w:rPr>
        <w:t>370.26</w:t>
      </w:r>
      <w:r>
        <w:rPr>
          <w:rFonts w:hint="eastAsia"/>
        </w:rPr>
        <w:t>万元、</w:t>
      </w:r>
      <w:r>
        <w:rPr>
          <w:rFonts w:ascii="Times New Roman" w:hAnsi="Times New Roman" w:cs="Times New Roman"/>
        </w:rPr>
        <w:t>246.91</w:t>
      </w:r>
      <w:r>
        <w:rPr>
          <w:rFonts w:hint="eastAsia"/>
        </w:rPr>
        <w:t>万元。</w:t>
      </w:r>
    </w:p>
    <w:p w:rsidR="0080594E" w:rsidRDefault="000C39A3">
      <w:pPr>
        <w:keepNext/>
        <w:keepLines/>
        <w:spacing w:before="300" w:after="300" w:line="280" w:lineRule="exact"/>
        <w:outlineLvl w:val="3"/>
        <w:rPr>
          <w:rFonts w:ascii="宋体" w:eastAsia="宋体" w:hAnsi="宋体" w:cs="宋体"/>
          <w:b/>
          <w:bCs/>
          <w:szCs w:val="21"/>
        </w:rPr>
      </w:pPr>
      <w:bookmarkStart w:id="302" w:name="_Toc989192"/>
      <w:r>
        <w:rPr>
          <w:rFonts w:ascii="宋体" w:eastAsia="宋体" w:hAnsi="宋体" w:cs="宋体"/>
          <w:b/>
          <w:bCs/>
          <w:szCs w:val="21"/>
        </w:rPr>
        <w:t>（3） 支付的其他与筹资活动有关的现金</w:t>
      </w:r>
      <w:bookmarkEnd w:id="302"/>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IPO中介费用</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16,043,826.64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派发权益分红保证金及手续费</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18,985.67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15,254.39</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18,985.67</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16,059,081.03</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支付的其他与筹资活动有关的现金说明：</w:t>
      </w:r>
    </w:p>
    <w:p w:rsidR="0080594E" w:rsidRDefault="0080594E"/>
    <w:p w:rsidR="0080594E" w:rsidRDefault="000C39A3">
      <w:pPr>
        <w:pStyle w:val="3"/>
        <w:spacing w:line="280" w:lineRule="exact"/>
        <w:jc w:val="left"/>
        <w:rPr>
          <w:rFonts w:ascii="宋体" w:hAnsi="宋体" w:cs="宋体"/>
          <w:b/>
          <w:bCs/>
        </w:rPr>
      </w:pPr>
      <w:bookmarkStart w:id="303" w:name="_Toc989193"/>
      <w:r>
        <w:rPr>
          <w:rFonts w:ascii="宋体" w:hAnsi="宋体" w:cs="宋体"/>
          <w:b/>
          <w:bCs/>
        </w:rPr>
        <w:t>45、现金流量表补充资料</w:t>
      </w:r>
      <w:bookmarkEnd w:id="303"/>
    </w:p>
    <w:p w:rsidR="0080594E" w:rsidRDefault="000C39A3">
      <w:pPr>
        <w:keepNext/>
        <w:keepLines/>
        <w:spacing w:before="300" w:after="300" w:line="280" w:lineRule="exact"/>
        <w:outlineLvl w:val="3"/>
        <w:rPr>
          <w:rFonts w:ascii="宋体" w:eastAsia="宋体" w:hAnsi="宋体" w:cs="宋体"/>
          <w:b/>
          <w:bCs/>
          <w:szCs w:val="21"/>
        </w:rPr>
      </w:pPr>
      <w:bookmarkStart w:id="304" w:name="_Toc989194"/>
      <w:r>
        <w:rPr>
          <w:rFonts w:ascii="宋体" w:eastAsia="宋体" w:hAnsi="宋体" w:cs="宋体"/>
          <w:b/>
          <w:bCs/>
          <w:szCs w:val="21"/>
        </w:rPr>
        <w:t>（1） 现金流量表补充资料</w:t>
      </w:r>
      <w:bookmarkEnd w:id="304"/>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补充资料</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上期金额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1．将净利润调节为经营活动现金流量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净利润</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180,789,588.77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加：资产减值准备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3,678,181.54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8,866,248.68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固定资产折旧、油气资产折耗、生产性生物资产折旧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39,562,237.35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29,981,127.82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使用权资产折旧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无形资产摊销</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2,762,071.92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1,923,437.28</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长期待摊费用摊销</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87,205.08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82,964.63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处置固定资产、无形资产和其他长期资产的损失（收益以“－”号填列）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-33,436.14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lastRenderedPageBreak/>
              <w:t>固定资产报废损失（收益以“－”号填列）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131,835.41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29,060.33</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财务费用（收益以“－”号填列）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-352,780.82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438,897.60</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-7,928,211.07</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递延所得税资产减少（增加以“－”号填列）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-3,549,632.96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-11,719,963.66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递延所得税负债增加（减少以“－”号填列）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存货的减少（增加以“－”号填列）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21,430,875.91</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-93,507,865.71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经营性应收项目的减少（增加以“－”号填列）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33,232,066.96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-66,429,100.46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经营性应付项目的增加（减少以“－”号填列）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-5,752,561.98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135,861,727.74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239,299,525.98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178,354,475.81</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2．不涉及现金收支的重大投资和筹资活动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债务转为资本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一年内到期的可转换公司债券</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融资租入固定资产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3．现金及现金等价物净变动情况：</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现金的期末余额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788,309,221.90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692,559,599.76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减：现金的期初余额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692,559,599.76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249,947,844.44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加：现金等价物的期末余额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减：现金等价物的期初余额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95,749,622.14</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442,611,755.32</w:t>
            </w:r>
          </w:p>
        </w:tc>
      </w:tr>
    </w:tbl>
    <w:p w:rsidR="0080594E" w:rsidRDefault="000C39A3">
      <w:pPr>
        <w:keepNext/>
        <w:keepLines/>
        <w:spacing w:before="300" w:after="300" w:line="280" w:lineRule="exact"/>
        <w:outlineLvl w:val="3"/>
        <w:rPr>
          <w:rFonts w:ascii="宋体" w:eastAsia="宋体" w:hAnsi="宋体" w:cs="宋体"/>
          <w:b/>
          <w:bCs/>
          <w:szCs w:val="21"/>
        </w:rPr>
      </w:pPr>
      <w:bookmarkStart w:id="305" w:name="_Toc989195"/>
      <w:r>
        <w:rPr>
          <w:rFonts w:ascii="宋体" w:eastAsia="宋体" w:hAnsi="宋体" w:cs="宋体"/>
          <w:b/>
          <w:bCs/>
          <w:szCs w:val="21"/>
        </w:rPr>
        <w:t>（2） 现金和现金等价物的构成</w:t>
      </w:r>
      <w:bookmarkEnd w:id="30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788,309,221.90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692,559,599.76</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其中：库存现金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12,129.60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8,933.22</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可随时用于支付的银行存款</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788,297,092.30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692,550,666.54</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三、期末现金及现金等价物余额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788,309,221.90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692,559,599.76</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0C39A3" w:rsidRDefault="000C39A3">
      <w:pPr>
        <w:pStyle w:val="a4"/>
        <w:divId w:val="468715553"/>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306" w:name="_Toc989196"/>
      <w:r>
        <w:rPr>
          <w:rFonts w:ascii="宋体" w:hAnsi="宋体" w:cs="宋体"/>
          <w:b/>
          <w:bCs/>
        </w:rPr>
        <w:lastRenderedPageBreak/>
        <w:t>46、所有者权益变动表项目注释</w:t>
      </w:r>
      <w:bookmarkEnd w:id="306"/>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说明对上年期末余额进行调整的“其他”项目名称及调整金额等事项：</w:t>
      </w:r>
    </w:p>
    <w:p w:rsidR="000C39A3" w:rsidRDefault="000C39A3">
      <w:pPr>
        <w:pStyle w:val="a4"/>
        <w:divId w:val="1690326242"/>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307" w:name="_Toc989197"/>
      <w:r>
        <w:rPr>
          <w:rFonts w:ascii="宋体" w:hAnsi="宋体" w:cs="宋体"/>
          <w:b/>
          <w:bCs/>
        </w:rPr>
        <w:t>47、所有权或使用权受到限制的资产</w:t>
      </w:r>
      <w:bookmarkEnd w:id="30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受限原因</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1,500,000.00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银行承兑汇票保证金</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19,505,829.15</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票据已背书但未终止确认</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21,005,829.15</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308" w:name="_Toc989198"/>
      <w:r>
        <w:rPr>
          <w:rFonts w:ascii="宋体" w:hAnsi="宋体" w:cs="宋体"/>
          <w:b/>
          <w:bCs/>
        </w:rPr>
        <w:t>48、外币货币性项目</w:t>
      </w:r>
      <w:bookmarkEnd w:id="308"/>
    </w:p>
    <w:p w:rsidR="0080594E" w:rsidRDefault="000C39A3">
      <w:pPr>
        <w:keepNext/>
        <w:keepLines/>
        <w:spacing w:before="300" w:after="300" w:line="280" w:lineRule="exact"/>
        <w:outlineLvl w:val="3"/>
        <w:rPr>
          <w:rFonts w:ascii="宋体" w:eastAsia="宋体" w:hAnsi="宋体" w:cs="宋体"/>
          <w:b/>
          <w:bCs/>
          <w:szCs w:val="21"/>
        </w:rPr>
      </w:pPr>
      <w:bookmarkStart w:id="309" w:name="_Toc989199"/>
      <w:r>
        <w:rPr>
          <w:rFonts w:ascii="宋体" w:eastAsia="宋体" w:hAnsi="宋体" w:cs="宋体"/>
          <w:b/>
          <w:bCs/>
          <w:szCs w:val="21"/>
        </w:rPr>
        <w:t>（1） 外币货币性项目</w:t>
      </w:r>
      <w:bookmarkEnd w:id="30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期末外币余额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折算汇率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期末折算人民币余额</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5,607,409.83</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790,331.45</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6.9646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5,504,342.42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13,885.06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7.4229</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103,067.41</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应收账款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1,876,283.99</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269,402.98</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6.9646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1,876,283.99</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长期借款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626.81</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6.9646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626.81</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其他应付款</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109,525.51</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15,726.03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6.9646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109,525.51</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keepNext/>
        <w:keepLines/>
        <w:spacing w:before="300" w:after="300" w:line="280" w:lineRule="exact"/>
        <w:outlineLvl w:val="3"/>
        <w:rPr>
          <w:rFonts w:ascii="宋体" w:eastAsia="宋体" w:hAnsi="宋体" w:cs="宋体"/>
          <w:b/>
          <w:bCs/>
          <w:szCs w:val="21"/>
        </w:rPr>
      </w:pPr>
      <w:bookmarkStart w:id="310" w:name="_Toc989200"/>
      <w:r>
        <w:rPr>
          <w:rFonts w:ascii="宋体" w:eastAsia="宋体" w:hAnsi="宋体" w:cs="宋体"/>
          <w:b/>
          <w:bCs/>
          <w:szCs w:val="21"/>
        </w:rPr>
        <w:lastRenderedPageBreak/>
        <w:t>（2） 境外经营实体说明，包括对于重要的境外经营实体，应披露其境外主要经营地、记账本位币及选择依据，记账本位币发生变化的还应披露原因。</w:t>
      </w:r>
      <w:bookmarkEnd w:id="310"/>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311" w:name="_Toc989201"/>
      <w:r>
        <w:rPr>
          <w:rFonts w:ascii="宋体" w:hAnsi="宋体" w:cs="宋体"/>
          <w:b/>
          <w:bCs/>
        </w:rPr>
        <w:t>49、套期</w:t>
      </w:r>
      <w:bookmarkEnd w:id="311"/>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按照套期类别披露套期项目及相关套期工具、被套期风险的定性和定量信息：</w:t>
      </w:r>
    </w:p>
    <w:p w:rsidR="000C39A3" w:rsidRDefault="000C39A3">
      <w:pPr>
        <w:pStyle w:val="a4"/>
        <w:divId w:val="1903297057"/>
        <w:rPr>
          <w:sz w:val="18"/>
          <w:szCs w:val="18"/>
        </w:rPr>
      </w:pPr>
      <w:r>
        <w:rPr>
          <w:rFonts w:hint="eastAsia"/>
          <w:sz w:val="18"/>
          <w:szCs w:val="18"/>
        </w:rPr>
        <w:t>无</w:t>
      </w:r>
    </w:p>
    <w:p w:rsidR="0080594E" w:rsidRDefault="000C39A3">
      <w:pPr>
        <w:pStyle w:val="3"/>
        <w:spacing w:line="280" w:lineRule="exact"/>
        <w:jc w:val="left"/>
        <w:rPr>
          <w:rFonts w:ascii="宋体" w:hAnsi="宋体" w:cs="宋体"/>
          <w:b/>
          <w:bCs/>
        </w:rPr>
      </w:pPr>
      <w:bookmarkStart w:id="312" w:name="_Toc989202"/>
      <w:r>
        <w:rPr>
          <w:rFonts w:ascii="宋体" w:hAnsi="宋体" w:cs="宋体"/>
          <w:b/>
          <w:bCs/>
        </w:rPr>
        <w:t>50、政府补助</w:t>
      </w:r>
      <w:bookmarkEnd w:id="312"/>
    </w:p>
    <w:p w:rsidR="0080594E" w:rsidRDefault="000C39A3">
      <w:pPr>
        <w:keepNext/>
        <w:keepLines/>
        <w:spacing w:before="300" w:after="300" w:line="280" w:lineRule="exact"/>
        <w:outlineLvl w:val="3"/>
        <w:rPr>
          <w:rFonts w:ascii="宋体" w:eastAsia="宋体" w:hAnsi="宋体" w:cs="宋体"/>
          <w:b/>
          <w:bCs/>
          <w:szCs w:val="21"/>
        </w:rPr>
      </w:pPr>
      <w:bookmarkStart w:id="313" w:name="_Toc989203"/>
      <w:r>
        <w:rPr>
          <w:rFonts w:ascii="宋体" w:eastAsia="宋体" w:hAnsi="宋体" w:cs="宋体"/>
          <w:b/>
          <w:bCs/>
          <w:szCs w:val="21"/>
        </w:rPr>
        <w:t>（1） 政府补助基本情况</w:t>
      </w:r>
      <w:bookmarkEnd w:id="313"/>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种类</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列报项目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计入当期损益的金额</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厦门市同安区工业和信息化局工业企业技术改造奖金</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25,010,400.00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递延收益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2,570,312.88</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2017年度技术专项补助资金</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4,240,000.00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递延收益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477,935.16</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580,000.00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递延收益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127,169.81</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与资产相关的政府补助合计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29,830,400.00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3,175,417.85</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增值税即征即退</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5,739,384.40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5,739,384.40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三高企业高新技术成果转化项目扶持资金</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2,644,400.00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2,644,400.00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企业研发补助资金</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2,800,000.00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2,800,000.00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专精特新小巨人企业认定奖励</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1,300,000.00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1,300,000.00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企业上市扶持资金奖励</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1,000,000.00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厦门市促进外资增长若干措施财政奖励资金</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916,900.00</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916,900.00</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3,463,145.23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其他收益</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3,463,145.23</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与收益相关的政府补助合计</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17,863,829.63</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17,863,829.63</w:t>
            </w:r>
          </w:p>
        </w:tc>
      </w:tr>
    </w:tbl>
    <w:p w:rsidR="0080594E" w:rsidRDefault="000C39A3">
      <w:pPr>
        <w:keepNext/>
        <w:keepLines/>
        <w:spacing w:before="300" w:after="300" w:line="280" w:lineRule="exact"/>
        <w:outlineLvl w:val="3"/>
        <w:rPr>
          <w:rFonts w:ascii="宋体" w:eastAsia="宋体" w:hAnsi="宋体" w:cs="宋体"/>
          <w:b/>
          <w:bCs/>
          <w:szCs w:val="21"/>
        </w:rPr>
      </w:pPr>
      <w:bookmarkStart w:id="314" w:name="_Toc989204"/>
      <w:r>
        <w:rPr>
          <w:rFonts w:ascii="宋体" w:eastAsia="宋体" w:hAnsi="宋体" w:cs="宋体"/>
          <w:b/>
          <w:bCs/>
          <w:szCs w:val="21"/>
        </w:rPr>
        <w:t>（2） 政府补助退回情况</w:t>
      </w:r>
      <w:bookmarkEnd w:id="314"/>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2"/>
        <w:spacing w:before="300" w:after="300" w:line="320" w:lineRule="exact"/>
        <w:rPr>
          <w:rFonts w:ascii="宋体" w:eastAsia="宋体" w:hAnsi="宋体" w:cs="宋体"/>
          <w:b/>
          <w:bCs/>
          <w:sz w:val="24"/>
          <w:szCs w:val="24"/>
        </w:rPr>
      </w:pPr>
      <w:bookmarkStart w:id="315" w:name="_Toc989205"/>
      <w:r>
        <w:rPr>
          <w:rFonts w:ascii="宋体" w:eastAsia="宋体" w:hAnsi="宋体" w:cs="宋体"/>
          <w:b/>
          <w:bCs/>
          <w:sz w:val="24"/>
          <w:szCs w:val="24"/>
        </w:rPr>
        <w:t>八、与金融工具相关的风险</w:t>
      </w:r>
      <w:bookmarkEnd w:id="315"/>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本公司与金融工具相关的风险源于本公司在经营过程中所确认的各类金融资产和金融负债，包括：信用风险、流动性风险和市场风险。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本公司与金融工具相关的各类风险的管理目标和政策的制度由本公司管理层负责。经营管理层通过职能部门负责日常的风险管理（例如本公司信用管理部对公司发生的赊销业</w:t>
      </w:r>
      <w:r>
        <w:rPr>
          <w:rFonts w:cs="Times New Roman" w:hint="eastAsia"/>
        </w:rPr>
        <w:lastRenderedPageBreak/>
        <w:t>务进行逐笔进行审核）。本公司内部审计部门对公司风险管理的政策和程序的执行情况进行日常监督，并且将有关发现及时报告给本公司审计委员会。</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本公司风险管理的总体目标是在不过度影响公司竞争力和应变力的情况下，制定尽可能降低各类与金融工具相关风险的风险管理政策。</w:t>
      </w:r>
    </w:p>
    <w:p w:rsidR="000C39A3" w:rsidRDefault="000C39A3">
      <w:pPr>
        <w:widowControl/>
        <w:numPr>
          <w:ilvl w:val="0"/>
          <w:numId w:val="3"/>
        </w:numPr>
        <w:spacing w:before="100" w:beforeAutospacing="1" w:after="100" w:afterAutospacing="1"/>
        <w:divId w:val="97868507"/>
        <w:rPr>
          <w:rFonts w:ascii="宋体" w:hAnsi="宋体" w:cs="宋体"/>
          <w:sz w:val="18"/>
          <w:szCs w:val="18"/>
        </w:rPr>
      </w:pPr>
      <w:r>
        <w:rPr>
          <w:rFonts w:hint="eastAsia"/>
        </w:rPr>
        <w:t>信用风险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信用风险，是指金融工具的一方未能履行义务从而导致另一方发生财务损失的风险。本公司的信用风险主要产生于货币资金、应收票据、应收账款、应收款项融资、其他应收款等，这些金融资产的信用风险源自交易对手违约，最大的风险敞口等于这些工具的账面金额。</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本公司货币资金主要存放于商业银行等金融机构，本公司认为这些商业银行具备较高信誉和资产状况，存在较低的信用风险。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对于应收票据、应收账款、应收款项融资、其他应收款等，本公司设定相关政策以控制信用风险敞口。本公司基于对客户的财务状况、从第三方获取担保的可能性、信用记录及其他因素诸如目前市场状况等评估客户的信用资质并设置相应信用期。本公司会定期对客户信用记录进行监控，对于信用记录不良的客户，本公司会采用书面催款、缩短信用期或取消信用期等方式，以确保本公司的整体信用风险在可控的范围内。</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w:t>
      </w:r>
      <w:r>
        <w:rPr>
          <w:rFonts w:ascii="Times New Roman" w:hAnsi="Times New Roman" w:cs="Times New Roman"/>
        </w:rPr>
        <w:t>1</w:t>
      </w:r>
      <w:r>
        <w:rPr>
          <w:rFonts w:cs="Times New Roman" w:hint="eastAsia"/>
        </w:rPr>
        <w:t>）信用风险显著增加判断标准</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在每个资产负债表日评估相关金融工具的信用风险自初始确认后是否已显著增加。在确定信用风险自初始确认后是否显著增加时，本公司考虑在无须付出不必要的额外成本或努力即可获得合理且有依据的信息，包括基于本公司历史数据的定性和定量分析、外部信用风险评级以及前瞻性信息。本公司以单项金融工具或者具有相似信用风险特征的金融工具组合为基础，通过比较金融工具在资产负债表日发生违约的风险与在初始确认日发生违约的风险，以确定金融工具预计存续期内发生违约风险的变化情况。</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当触发以下一个或多个定量、定性标准时，本公司认为金融工具的信用风险已发生显著增加：定量标准主要为报告日剩余存续期违约概率较初始确认时上升超过一定比例；定性标准为主要债务人经营或财务情况出现重大不利变化、预警客户清单等。</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w:t>
      </w:r>
      <w:r>
        <w:rPr>
          <w:rFonts w:ascii="Times New Roman" w:hAnsi="Times New Roman" w:cs="Times New Roman"/>
        </w:rPr>
        <w:t>2</w:t>
      </w:r>
      <w:r>
        <w:rPr>
          <w:rFonts w:cs="Times New Roman" w:hint="eastAsia"/>
        </w:rPr>
        <w:t>）已发生信用减值资产的定义</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lastRenderedPageBreak/>
        <w:t>为确定是否发生信用减值，本公司所采用的界定标准，与内部针对相关金融工具的信用风险管理目标保持一致</w:t>
      </w:r>
      <w:r>
        <w:rPr>
          <w:rFonts w:ascii="Times New Roman" w:hAnsi="Times New Roman" w:cs="Times New Roman"/>
        </w:rPr>
        <w:t>,</w:t>
      </w:r>
      <w:r>
        <w:rPr>
          <w:rFonts w:cs="Times New Roman" w:hint="eastAsia"/>
        </w:rPr>
        <w:t>同时考虑定量、定性指标。</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评估债务人是否发生信用减值时，主要考虑以下因素：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致该金融资产的活跃市场消失；以大幅折扣购买或源生一项金融资产，该折扣反映了发生信用损失的事实。</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金融资产发生信用减值，有可能是多个事件的共同作用所致，未必是可单独识别的事件所致。</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w:t>
      </w:r>
      <w:r>
        <w:rPr>
          <w:rFonts w:ascii="Times New Roman" w:hAnsi="Times New Roman" w:cs="Times New Roman"/>
        </w:rPr>
        <w:t>3</w:t>
      </w:r>
      <w:r>
        <w:rPr>
          <w:rFonts w:cs="Times New Roman" w:hint="eastAsia"/>
        </w:rPr>
        <w:t>）预期信用损失计量的参数</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根据信用风险是否发生显著增加以及是否已发生信用减值，本公司对不同的资产分别以</w:t>
      </w:r>
      <w:r>
        <w:rPr>
          <w:rFonts w:ascii="Times New Roman" w:hAnsi="Times New Roman" w:cs="Times New Roman"/>
        </w:rPr>
        <w:t xml:space="preserve">12 </w:t>
      </w:r>
      <w:r>
        <w:rPr>
          <w:rFonts w:cs="Times New Roman" w:hint="eastAsia"/>
        </w:rPr>
        <w:t>个月或整个存续期的预期信用损失计量减值准备。预期信用损失计量的关键参数包括违约概率、违约损失率和违约风险敞口。本公司考虑历史统计数据</w:t>
      </w:r>
      <w:r>
        <w:rPr>
          <w:rFonts w:ascii="Times New Roman" w:hAnsi="Times New Roman" w:cs="Times New Roman"/>
        </w:rPr>
        <w:t>(</w:t>
      </w:r>
      <w:r>
        <w:rPr>
          <w:rFonts w:cs="Times New Roman" w:hint="eastAsia"/>
        </w:rPr>
        <w:t>如交易对手评级、担保方式及抵质押物类别、还款方式等</w:t>
      </w:r>
      <w:r>
        <w:rPr>
          <w:rFonts w:ascii="Times New Roman" w:hAnsi="Times New Roman" w:cs="Times New Roman"/>
        </w:rPr>
        <w:t>)</w:t>
      </w:r>
      <w:r>
        <w:rPr>
          <w:rFonts w:cs="Times New Roman" w:hint="eastAsia"/>
        </w:rPr>
        <w:t>的定量分析及前瞻性信息，建立违约概率、违约损失率及违约风险敞口模型。</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相关定义如下：</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违约概率是指债务人在未来</w:t>
      </w:r>
      <w:r>
        <w:rPr>
          <w:rFonts w:ascii="Times New Roman" w:hAnsi="Times New Roman" w:cs="Times New Roman"/>
        </w:rPr>
        <w:t xml:space="preserve"> 12</w:t>
      </w:r>
      <w:r>
        <w:rPr>
          <w:rFonts w:cs="Times New Roman" w:hint="eastAsia"/>
        </w:rPr>
        <w:t>个月或在整个剩余存续期，无法履行其偿付义务的可能性。</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违约损失率是指本公司对违约风险暴露发生损失程度作出的预期。根据交易对手的类型、追索的方式和优先级，以及担保品的不同，违约损失率也有所不同。违约损失率为违约发生时风险敞口损失的百分比，以未来</w:t>
      </w:r>
      <w:r>
        <w:rPr>
          <w:rFonts w:ascii="Times New Roman" w:hAnsi="Times New Roman" w:cs="Times New Roman"/>
        </w:rPr>
        <w:t>12</w:t>
      </w:r>
      <w:r>
        <w:rPr>
          <w:rFonts w:cs="Times New Roman" w:hint="eastAsia"/>
        </w:rPr>
        <w:t>个月内或整个存续期为基准进行计算；</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违约风险敞口是指，在未来</w:t>
      </w:r>
      <w:r>
        <w:rPr>
          <w:rFonts w:ascii="Times New Roman" w:hAnsi="Times New Roman" w:cs="Times New Roman"/>
        </w:rPr>
        <w:t xml:space="preserve"> 12 </w:t>
      </w:r>
      <w:r>
        <w:rPr>
          <w:rFonts w:cs="Times New Roman" w:hint="eastAsia"/>
        </w:rPr>
        <w:t>个月或在整个剩余存续期中，在违约发生时，本公司应被偿付的金额。前瞻性信息信用风险显著增加的评估及预期信用损失的计算均涉及前瞻性信息。本公司通过进行历史数据分析，识别出影响各业务类型信用风险及预期信用损失的关键经济指标。</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本公司所承受的最大信用风险敞口为资产负债表中每项金融资产的账面金额。本公司没有提供任何其他可能令本公司承受信用风险的担保。</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lastRenderedPageBreak/>
        <w:t>本公司应收账款中，前五大客户的应收账款占本公司应收账款总额的</w:t>
      </w:r>
      <w:r>
        <w:rPr>
          <w:rFonts w:ascii="Times New Roman" w:hAnsi="Times New Roman" w:cs="Times New Roman"/>
        </w:rPr>
        <w:t>23.81%</w:t>
      </w:r>
      <w:r>
        <w:rPr>
          <w:rFonts w:cs="Times New Roman" w:hint="eastAsia"/>
        </w:rPr>
        <w:t>（比较期：</w:t>
      </w:r>
      <w:r>
        <w:rPr>
          <w:rFonts w:ascii="Times New Roman" w:hAnsi="Times New Roman" w:cs="Times New Roman"/>
        </w:rPr>
        <w:t>20.45%</w:t>
      </w:r>
      <w:r>
        <w:rPr>
          <w:rFonts w:cs="Times New Roman" w:hint="eastAsia"/>
        </w:rPr>
        <w:t>）；本公司其他应收款中，欠款金额前五大公司的其他应收款占本公司其他应收款总额的</w:t>
      </w:r>
      <w:r>
        <w:rPr>
          <w:rFonts w:ascii="Times New Roman" w:hAnsi="Times New Roman" w:cs="Times New Roman"/>
        </w:rPr>
        <w:t>95.59%</w:t>
      </w:r>
      <w:r>
        <w:rPr>
          <w:rFonts w:cs="Times New Roman" w:hint="eastAsia"/>
        </w:rPr>
        <w:t>（比较：</w:t>
      </w:r>
      <w:r>
        <w:rPr>
          <w:rFonts w:ascii="Times New Roman" w:hAnsi="Times New Roman" w:cs="Times New Roman"/>
        </w:rPr>
        <w:t>98.84%</w:t>
      </w:r>
      <w:r>
        <w:rPr>
          <w:rFonts w:cs="Times New Roman" w:hint="eastAsia"/>
        </w:rPr>
        <w:t>）。</w:t>
      </w:r>
    </w:p>
    <w:p w:rsidR="000C39A3" w:rsidRDefault="000C39A3">
      <w:pPr>
        <w:widowControl/>
        <w:numPr>
          <w:ilvl w:val="0"/>
          <w:numId w:val="4"/>
        </w:numPr>
        <w:spacing w:before="100" w:beforeAutospacing="1" w:after="100" w:afterAutospacing="1"/>
        <w:divId w:val="97868507"/>
        <w:rPr>
          <w:rFonts w:ascii="宋体" w:hAnsi="宋体" w:cs="宋体"/>
          <w:sz w:val="18"/>
          <w:szCs w:val="18"/>
        </w:rPr>
      </w:pPr>
      <w:r>
        <w:rPr>
          <w:rFonts w:hint="eastAsia"/>
        </w:rPr>
        <w:t>流动性风险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流动性风险，是指企业在履行以交付现金或其他金融资产的方式结算的义务时发生资金短缺的风险。本公司统筹负责公司内各子公司的现金管理工作，包括现金盈余的短期投资和筹措贷款以应付预计现金需求。本公司的政策是定期监控短期和长期的流动资金需求，以及是否符合借款协议的规定，以确保维持充裕的现金储备和可供随时变现的有价证券。</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截止</w:t>
      </w:r>
      <w:r>
        <w:rPr>
          <w:rFonts w:ascii="Times New Roman" w:hAnsi="Times New Roman" w:cs="Times New Roman"/>
        </w:rPr>
        <w:t>2022</w:t>
      </w:r>
      <w:r>
        <w:rPr>
          <w:rFonts w:cs="Times New Roman" w:hint="eastAsia"/>
        </w:rPr>
        <w:t>年</w:t>
      </w:r>
      <w:r>
        <w:rPr>
          <w:rFonts w:ascii="Times New Roman" w:hAnsi="Times New Roman" w:cs="Times New Roman"/>
        </w:rPr>
        <w:t>12</w:t>
      </w:r>
      <w:r>
        <w:rPr>
          <w:rFonts w:cs="Times New Roman" w:hint="eastAsia"/>
        </w:rPr>
        <w:t>月</w:t>
      </w:r>
      <w:r>
        <w:rPr>
          <w:rFonts w:ascii="Times New Roman" w:hAnsi="Times New Roman" w:cs="Times New Roman"/>
        </w:rPr>
        <w:t>31</w:t>
      </w:r>
      <w:r>
        <w:rPr>
          <w:rFonts w:cs="Times New Roman" w:hint="eastAsia"/>
        </w:rPr>
        <w:t>日，本公司金融负债到期期限如下（单位：万元）：</w:t>
      </w:r>
    </w:p>
    <w:tbl>
      <w:tblPr>
        <w:tblW w:w="8844" w:type="dxa"/>
        <w:jc w:val="center"/>
        <w:tblCellMar>
          <w:left w:w="0" w:type="dxa"/>
          <w:right w:w="0" w:type="dxa"/>
        </w:tblCellMar>
        <w:tblLook w:val="04A0" w:firstRow="1" w:lastRow="0" w:firstColumn="1" w:lastColumn="0" w:noHBand="0" w:noVBand="1"/>
      </w:tblPr>
      <w:tblGrid>
        <w:gridCol w:w="2363"/>
        <w:gridCol w:w="1788"/>
        <w:gridCol w:w="1143"/>
        <w:gridCol w:w="1143"/>
        <w:gridCol w:w="1144"/>
        <w:gridCol w:w="1263"/>
      </w:tblGrid>
      <w:tr w:rsidR="000C39A3">
        <w:trPr>
          <w:divId w:val="97868507"/>
          <w:trHeight w:val="369"/>
          <w:tblHeader/>
          <w:jc w:val="center"/>
        </w:trPr>
        <w:tc>
          <w:tcPr>
            <w:tcW w:w="1336"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cs="Times New Roman" w:hint="eastAsia"/>
                <w:sz w:val="21"/>
                <w:szCs w:val="21"/>
              </w:rPr>
              <w:t>项</w:t>
            </w:r>
            <w:r>
              <w:rPr>
                <w:rFonts w:ascii="Times New Roman" w:hAnsi="Times New Roman" w:cs="Times New Roman"/>
                <w:sz w:val="21"/>
                <w:szCs w:val="21"/>
              </w:rPr>
              <w:t xml:space="preserve">  </w:t>
            </w:r>
            <w:r>
              <w:rPr>
                <w:rFonts w:cs="Times New Roman" w:hint="eastAsia"/>
                <w:sz w:val="21"/>
                <w:szCs w:val="21"/>
              </w:rPr>
              <w:t>目</w:t>
            </w:r>
          </w:p>
        </w:tc>
        <w:tc>
          <w:tcPr>
            <w:tcW w:w="3664" w:type="pct"/>
            <w:gridSpan w:val="5"/>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2022</w:t>
            </w:r>
            <w:r>
              <w:rPr>
                <w:rFonts w:cs="Times New Roman" w:hint="eastAsia"/>
                <w:sz w:val="21"/>
                <w:szCs w:val="21"/>
              </w:rPr>
              <w:t>年</w:t>
            </w:r>
            <w:r>
              <w:rPr>
                <w:rFonts w:ascii="Times New Roman" w:hAnsi="Times New Roman" w:cs="Times New Roman"/>
                <w:sz w:val="21"/>
                <w:szCs w:val="21"/>
              </w:rPr>
              <w:t>12</w:t>
            </w:r>
            <w:r>
              <w:rPr>
                <w:rFonts w:cs="Times New Roman" w:hint="eastAsia"/>
                <w:sz w:val="21"/>
                <w:szCs w:val="21"/>
              </w:rPr>
              <w:t>月</w:t>
            </w:r>
            <w:r>
              <w:rPr>
                <w:rFonts w:ascii="Times New Roman" w:hAnsi="Times New Roman" w:cs="Times New Roman"/>
                <w:sz w:val="21"/>
                <w:szCs w:val="21"/>
              </w:rPr>
              <w:t>31</w:t>
            </w:r>
            <w:r>
              <w:rPr>
                <w:rFonts w:cs="Times New Roman" w:hint="eastAsia"/>
                <w:sz w:val="21"/>
                <w:szCs w:val="21"/>
              </w:rPr>
              <w:t>日</w:t>
            </w:r>
          </w:p>
        </w:tc>
      </w:tr>
      <w:tr w:rsidR="000C39A3">
        <w:trPr>
          <w:divId w:val="97868507"/>
          <w:trHeight w:val="369"/>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C39A3" w:rsidRDefault="000C39A3">
            <w:pPr>
              <w:rPr>
                <w:rFonts w:ascii="Times New Roman" w:eastAsia="宋体" w:hAnsi="Times New Roman" w:cs="Times New Roman"/>
                <w:szCs w:val="21"/>
              </w:rPr>
            </w:pPr>
          </w:p>
        </w:tc>
        <w:tc>
          <w:tcPr>
            <w:tcW w:w="1011"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6</w:t>
            </w:r>
            <w:r>
              <w:rPr>
                <w:rFonts w:cs="Times New Roman" w:hint="eastAsia"/>
                <w:sz w:val="21"/>
                <w:szCs w:val="21"/>
              </w:rPr>
              <w:t>个月内</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6</w:t>
            </w:r>
            <w:r>
              <w:rPr>
                <w:rFonts w:cs="Times New Roman" w:hint="eastAsia"/>
                <w:sz w:val="21"/>
                <w:szCs w:val="21"/>
              </w:rPr>
              <w:t>个月</w:t>
            </w:r>
            <w:r>
              <w:rPr>
                <w:rFonts w:ascii="Times New Roman" w:hAnsi="Times New Roman" w:cs="Times New Roman"/>
                <w:sz w:val="21"/>
                <w:szCs w:val="21"/>
              </w:rPr>
              <w:t>-1</w:t>
            </w:r>
            <w:r>
              <w:rPr>
                <w:rFonts w:cs="Times New Roman" w:hint="eastAsia"/>
                <w:sz w:val="21"/>
                <w:szCs w:val="21"/>
              </w:rPr>
              <w:t>年</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1-2</w:t>
            </w:r>
            <w:r>
              <w:rPr>
                <w:rFonts w:cs="Times New Roman" w:hint="eastAsia"/>
                <w:sz w:val="21"/>
                <w:szCs w:val="21"/>
              </w:rPr>
              <w:t>年</w:t>
            </w:r>
          </w:p>
        </w:tc>
        <w:tc>
          <w:tcPr>
            <w:tcW w:w="647"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2-3</w:t>
            </w:r>
            <w:r>
              <w:rPr>
                <w:rFonts w:cs="Times New Roman" w:hint="eastAsia"/>
                <w:sz w:val="21"/>
                <w:szCs w:val="21"/>
              </w:rPr>
              <w:t>年</w:t>
            </w:r>
          </w:p>
        </w:tc>
        <w:tc>
          <w:tcPr>
            <w:tcW w:w="714"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3</w:t>
            </w:r>
            <w:r>
              <w:rPr>
                <w:rFonts w:cs="Times New Roman" w:hint="eastAsia"/>
                <w:sz w:val="21"/>
                <w:szCs w:val="21"/>
              </w:rPr>
              <w:t>年以上</w:t>
            </w:r>
          </w:p>
        </w:tc>
      </w:tr>
      <w:tr w:rsidR="000C39A3">
        <w:trPr>
          <w:divId w:val="97868507"/>
          <w:trHeight w:val="369"/>
          <w:jc w:val="center"/>
        </w:trPr>
        <w:tc>
          <w:tcPr>
            <w:tcW w:w="1336"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应付票据</w:t>
            </w:r>
          </w:p>
        </w:tc>
        <w:tc>
          <w:tcPr>
            <w:tcW w:w="101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3,000.00</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647"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 </w:t>
            </w:r>
          </w:p>
        </w:tc>
        <w:tc>
          <w:tcPr>
            <w:tcW w:w="714"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r>
      <w:tr w:rsidR="000C39A3">
        <w:trPr>
          <w:divId w:val="97868507"/>
          <w:trHeight w:val="369"/>
          <w:jc w:val="center"/>
        </w:trPr>
        <w:tc>
          <w:tcPr>
            <w:tcW w:w="1336"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应付账款</w:t>
            </w:r>
          </w:p>
        </w:tc>
        <w:tc>
          <w:tcPr>
            <w:tcW w:w="101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4411A9">
            <w:pPr>
              <w:pStyle w:val="a4"/>
              <w:spacing w:before="0" w:beforeAutospacing="0" w:after="0" w:afterAutospacing="0"/>
              <w:jc w:val="right"/>
              <w:rPr>
                <w:rFonts w:ascii="Times New Roman" w:hAnsi="Times New Roman" w:cs="Times New Roman"/>
                <w:sz w:val="21"/>
                <w:szCs w:val="21"/>
              </w:rPr>
            </w:pPr>
            <w:r w:rsidRPr="008071B9">
              <w:rPr>
                <w:rFonts w:ascii="Times New Roman" w:hAnsi="Times New Roman" w:cs="Times New Roman"/>
                <w:sz w:val="21"/>
                <w:szCs w:val="21"/>
              </w:rPr>
              <w:t>13,492.52</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647"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 </w:t>
            </w:r>
          </w:p>
        </w:tc>
        <w:tc>
          <w:tcPr>
            <w:tcW w:w="714"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349.96</w:t>
            </w:r>
          </w:p>
        </w:tc>
      </w:tr>
      <w:tr w:rsidR="000C39A3">
        <w:trPr>
          <w:divId w:val="97868507"/>
          <w:trHeight w:val="369"/>
          <w:jc w:val="center"/>
        </w:trPr>
        <w:tc>
          <w:tcPr>
            <w:tcW w:w="1336"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其他应付款</w:t>
            </w:r>
          </w:p>
        </w:tc>
        <w:tc>
          <w:tcPr>
            <w:tcW w:w="101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16.38</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647"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 </w:t>
            </w:r>
          </w:p>
        </w:tc>
        <w:tc>
          <w:tcPr>
            <w:tcW w:w="714"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647.76</w:t>
            </w:r>
          </w:p>
        </w:tc>
      </w:tr>
      <w:tr w:rsidR="000C39A3">
        <w:trPr>
          <w:divId w:val="97868507"/>
          <w:trHeight w:val="369"/>
          <w:jc w:val="center"/>
        </w:trPr>
        <w:tc>
          <w:tcPr>
            <w:tcW w:w="1336"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合同负债</w:t>
            </w:r>
            <w:r>
              <w:rPr>
                <w:rFonts w:ascii="Times New Roman" w:hAnsi="Times New Roman" w:cs="Times New Roman"/>
                <w:sz w:val="21"/>
                <w:szCs w:val="21"/>
              </w:rPr>
              <w:t>-</w:t>
            </w:r>
            <w:r>
              <w:rPr>
                <w:rFonts w:cs="Times New Roman" w:hint="eastAsia"/>
                <w:sz w:val="21"/>
                <w:szCs w:val="21"/>
              </w:rPr>
              <w:t>预提销售返利</w:t>
            </w:r>
          </w:p>
        </w:tc>
        <w:tc>
          <w:tcPr>
            <w:tcW w:w="101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4411A9">
            <w:pPr>
              <w:pStyle w:val="a4"/>
              <w:spacing w:before="0" w:beforeAutospacing="0" w:after="0" w:afterAutospacing="0"/>
              <w:jc w:val="right"/>
              <w:rPr>
                <w:rFonts w:ascii="Times New Roman" w:hAnsi="Times New Roman" w:cs="Times New Roman"/>
                <w:sz w:val="21"/>
                <w:szCs w:val="21"/>
              </w:rPr>
            </w:pPr>
            <w:r w:rsidRPr="004411A9">
              <w:rPr>
                <w:rFonts w:ascii="Times New Roman" w:hAnsi="Times New Roman" w:cs="Times New Roman"/>
                <w:sz w:val="21"/>
                <w:szCs w:val="21"/>
              </w:rPr>
              <w:t>18,597.63</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p>
        </w:tc>
        <w:tc>
          <w:tcPr>
            <w:tcW w:w="647"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 </w:t>
            </w:r>
          </w:p>
        </w:tc>
        <w:tc>
          <w:tcPr>
            <w:tcW w:w="714"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r>
      <w:tr w:rsidR="000C39A3">
        <w:trPr>
          <w:divId w:val="97868507"/>
          <w:trHeight w:val="369"/>
          <w:jc w:val="center"/>
        </w:trPr>
        <w:tc>
          <w:tcPr>
            <w:tcW w:w="1336"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cs="Times New Roman" w:hint="eastAsia"/>
                <w:sz w:val="21"/>
                <w:szCs w:val="21"/>
              </w:rPr>
              <w:t>合计</w:t>
            </w:r>
          </w:p>
        </w:tc>
        <w:tc>
          <w:tcPr>
            <w:tcW w:w="101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4411A9">
            <w:pPr>
              <w:pStyle w:val="a4"/>
              <w:spacing w:before="0" w:beforeAutospacing="0" w:after="0" w:afterAutospacing="0"/>
              <w:jc w:val="right"/>
              <w:rPr>
                <w:rFonts w:ascii="Times New Roman" w:hAnsi="Times New Roman" w:cs="Times New Roman"/>
                <w:sz w:val="21"/>
                <w:szCs w:val="21"/>
              </w:rPr>
            </w:pPr>
            <w:r w:rsidRPr="004411A9">
              <w:rPr>
                <w:rFonts w:ascii="Times New Roman" w:hAnsi="Times New Roman" w:cs="Times New Roman"/>
                <w:sz w:val="21"/>
                <w:szCs w:val="21"/>
              </w:rPr>
              <w:t>35,106.53</w:t>
            </w: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p>
        </w:tc>
        <w:tc>
          <w:tcPr>
            <w:tcW w:w="64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 xml:space="preserve">　</w:t>
            </w:r>
          </w:p>
        </w:tc>
        <w:tc>
          <w:tcPr>
            <w:tcW w:w="647"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 xml:space="preserve">　</w:t>
            </w:r>
          </w:p>
        </w:tc>
        <w:tc>
          <w:tcPr>
            <w:tcW w:w="714"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997.72</w:t>
            </w:r>
          </w:p>
        </w:tc>
      </w:tr>
    </w:tbl>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（续上表）</w:t>
      </w:r>
    </w:p>
    <w:tbl>
      <w:tblPr>
        <w:tblW w:w="8844" w:type="dxa"/>
        <w:jc w:val="center"/>
        <w:tblCellMar>
          <w:left w:w="0" w:type="dxa"/>
          <w:right w:w="0" w:type="dxa"/>
        </w:tblCellMar>
        <w:tblLook w:val="04A0" w:firstRow="1" w:lastRow="0" w:firstColumn="1" w:lastColumn="0" w:noHBand="0" w:noVBand="1"/>
      </w:tblPr>
      <w:tblGrid>
        <w:gridCol w:w="2297"/>
        <w:gridCol w:w="1815"/>
        <w:gridCol w:w="1275"/>
        <w:gridCol w:w="943"/>
        <w:gridCol w:w="1348"/>
        <w:gridCol w:w="1166"/>
      </w:tblGrid>
      <w:tr w:rsidR="000C39A3">
        <w:trPr>
          <w:divId w:val="97868507"/>
          <w:trHeight w:val="369"/>
          <w:tblHeader/>
          <w:jc w:val="center"/>
        </w:trPr>
        <w:tc>
          <w:tcPr>
            <w:tcW w:w="1299"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cs="Times New Roman" w:hint="eastAsia"/>
                <w:sz w:val="21"/>
                <w:szCs w:val="21"/>
              </w:rPr>
              <w:t>项</w:t>
            </w:r>
            <w:r>
              <w:rPr>
                <w:rFonts w:ascii="Times New Roman" w:hAnsi="Times New Roman" w:cs="Times New Roman"/>
                <w:sz w:val="21"/>
                <w:szCs w:val="21"/>
              </w:rPr>
              <w:t xml:space="preserve">  </w:t>
            </w:r>
            <w:r>
              <w:rPr>
                <w:rFonts w:cs="Times New Roman" w:hint="eastAsia"/>
                <w:sz w:val="21"/>
                <w:szCs w:val="21"/>
              </w:rPr>
              <w:t>目</w:t>
            </w:r>
          </w:p>
        </w:tc>
        <w:tc>
          <w:tcPr>
            <w:tcW w:w="3701" w:type="pct"/>
            <w:gridSpan w:val="5"/>
            <w:tcBorders>
              <w:top w:val="single" w:sz="8" w:space="0" w:color="auto"/>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 2021</w:t>
            </w:r>
            <w:r>
              <w:rPr>
                <w:rFonts w:cs="Times New Roman" w:hint="eastAsia"/>
                <w:sz w:val="21"/>
                <w:szCs w:val="21"/>
              </w:rPr>
              <w:t>年</w:t>
            </w:r>
            <w:r>
              <w:rPr>
                <w:rFonts w:ascii="Times New Roman" w:hAnsi="Times New Roman" w:cs="Times New Roman"/>
                <w:sz w:val="21"/>
                <w:szCs w:val="21"/>
              </w:rPr>
              <w:t>12</w:t>
            </w:r>
            <w:r>
              <w:rPr>
                <w:rFonts w:cs="Times New Roman" w:hint="eastAsia"/>
                <w:sz w:val="21"/>
                <w:szCs w:val="21"/>
              </w:rPr>
              <w:t>月</w:t>
            </w:r>
            <w:r>
              <w:rPr>
                <w:rFonts w:ascii="Times New Roman" w:hAnsi="Times New Roman" w:cs="Times New Roman"/>
                <w:sz w:val="21"/>
                <w:szCs w:val="21"/>
              </w:rPr>
              <w:t>31</w:t>
            </w:r>
            <w:r>
              <w:rPr>
                <w:rFonts w:cs="Times New Roman" w:hint="eastAsia"/>
                <w:sz w:val="21"/>
                <w:szCs w:val="21"/>
              </w:rPr>
              <w:t>日</w:t>
            </w:r>
          </w:p>
        </w:tc>
      </w:tr>
      <w:tr w:rsidR="000C39A3">
        <w:trPr>
          <w:divId w:val="97868507"/>
          <w:trHeight w:val="369"/>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C39A3" w:rsidRDefault="000C39A3">
            <w:pPr>
              <w:rPr>
                <w:rFonts w:ascii="Times New Roman" w:eastAsia="宋体" w:hAnsi="Times New Roman" w:cs="Times New Roman"/>
                <w:szCs w:val="21"/>
              </w:rPr>
            </w:pPr>
          </w:p>
        </w:tc>
        <w:tc>
          <w:tcPr>
            <w:tcW w:w="1026"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6</w:t>
            </w:r>
            <w:r>
              <w:rPr>
                <w:rFonts w:cs="Times New Roman" w:hint="eastAsia"/>
                <w:sz w:val="21"/>
                <w:szCs w:val="21"/>
              </w:rPr>
              <w:t>个月内</w:t>
            </w:r>
          </w:p>
        </w:tc>
        <w:tc>
          <w:tcPr>
            <w:tcW w:w="72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6</w:t>
            </w:r>
            <w:r>
              <w:rPr>
                <w:rFonts w:cs="Times New Roman" w:hint="eastAsia"/>
                <w:sz w:val="21"/>
                <w:szCs w:val="21"/>
              </w:rPr>
              <w:t>个月</w:t>
            </w:r>
            <w:r>
              <w:rPr>
                <w:rFonts w:ascii="Times New Roman" w:hAnsi="Times New Roman" w:cs="Times New Roman"/>
                <w:sz w:val="21"/>
                <w:szCs w:val="21"/>
              </w:rPr>
              <w:t>-1</w:t>
            </w:r>
            <w:r>
              <w:rPr>
                <w:rFonts w:cs="Times New Roman" w:hint="eastAsia"/>
                <w:sz w:val="21"/>
                <w:szCs w:val="21"/>
              </w:rPr>
              <w:t>年</w:t>
            </w:r>
          </w:p>
        </w:tc>
        <w:tc>
          <w:tcPr>
            <w:tcW w:w="533"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1-2</w:t>
            </w:r>
            <w:r>
              <w:rPr>
                <w:rFonts w:cs="Times New Roman" w:hint="eastAsia"/>
                <w:sz w:val="21"/>
                <w:szCs w:val="21"/>
              </w:rPr>
              <w:t>年</w:t>
            </w:r>
          </w:p>
        </w:tc>
        <w:tc>
          <w:tcPr>
            <w:tcW w:w="76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2-3</w:t>
            </w:r>
            <w:r>
              <w:rPr>
                <w:rFonts w:cs="Times New Roman" w:hint="eastAsia"/>
                <w:sz w:val="21"/>
                <w:szCs w:val="21"/>
              </w:rPr>
              <w:t>年</w:t>
            </w:r>
          </w:p>
        </w:tc>
        <w:tc>
          <w:tcPr>
            <w:tcW w:w="659"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3</w:t>
            </w:r>
            <w:r>
              <w:rPr>
                <w:rFonts w:cs="Times New Roman" w:hint="eastAsia"/>
                <w:sz w:val="21"/>
                <w:szCs w:val="21"/>
              </w:rPr>
              <w:t>年以上</w:t>
            </w:r>
          </w:p>
        </w:tc>
      </w:tr>
      <w:tr w:rsidR="000C39A3">
        <w:trPr>
          <w:divId w:val="97868507"/>
          <w:trHeight w:val="369"/>
          <w:jc w:val="center"/>
        </w:trPr>
        <w:tc>
          <w:tcPr>
            <w:tcW w:w="1299"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应付票据</w:t>
            </w:r>
          </w:p>
        </w:tc>
        <w:tc>
          <w:tcPr>
            <w:tcW w:w="102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7,500.00</w:t>
            </w:r>
          </w:p>
        </w:tc>
        <w:tc>
          <w:tcPr>
            <w:tcW w:w="72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533"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76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659"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r>
      <w:tr w:rsidR="000C39A3">
        <w:trPr>
          <w:divId w:val="97868507"/>
          <w:trHeight w:val="369"/>
          <w:jc w:val="center"/>
        </w:trPr>
        <w:tc>
          <w:tcPr>
            <w:tcW w:w="1299"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应付账款</w:t>
            </w:r>
          </w:p>
        </w:tc>
        <w:tc>
          <w:tcPr>
            <w:tcW w:w="102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1812A1">
            <w:pPr>
              <w:pStyle w:val="a4"/>
              <w:spacing w:before="0" w:beforeAutospacing="0" w:after="0" w:afterAutospacing="0"/>
              <w:jc w:val="right"/>
              <w:rPr>
                <w:rFonts w:ascii="Times New Roman" w:hAnsi="Times New Roman" w:cs="Times New Roman"/>
                <w:sz w:val="21"/>
                <w:szCs w:val="21"/>
              </w:rPr>
            </w:pPr>
            <w:r w:rsidRPr="001812A1">
              <w:rPr>
                <w:rFonts w:ascii="Times New Roman" w:hAnsi="Times New Roman" w:cs="Times New Roman"/>
                <w:sz w:val="21"/>
                <w:szCs w:val="21"/>
              </w:rPr>
              <w:t>12,969.21</w:t>
            </w:r>
          </w:p>
        </w:tc>
        <w:tc>
          <w:tcPr>
            <w:tcW w:w="72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1812A1">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533"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76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349.95</w:t>
            </w:r>
          </w:p>
        </w:tc>
        <w:tc>
          <w:tcPr>
            <w:tcW w:w="659"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r>
      <w:tr w:rsidR="000C39A3">
        <w:trPr>
          <w:divId w:val="97868507"/>
          <w:trHeight w:val="369"/>
          <w:jc w:val="center"/>
        </w:trPr>
        <w:tc>
          <w:tcPr>
            <w:tcW w:w="1299"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其他应付款</w:t>
            </w:r>
          </w:p>
        </w:tc>
        <w:tc>
          <w:tcPr>
            <w:tcW w:w="102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62.36</w:t>
            </w:r>
          </w:p>
        </w:tc>
        <w:tc>
          <w:tcPr>
            <w:tcW w:w="72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533"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76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659"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556.10</w:t>
            </w:r>
          </w:p>
        </w:tc>
      </w:tr>
      <w:tr w:rsidR="000C39A3">
        <w:trPr>
          <w:divId w:val="97868507"/>
          <w:trHeight w:val="369"/>
          <w:jc w:val="center"/>
        </w:trPr>
        <w:tc>
          <w:tcPr>
            <w:tcW w:w="1299"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rPr>
                <w:rFonts w:ascii="Times New Roman" w:hAnsi="Times New Roman" w:cs="Times New Roman"/>
                <w:sz w:val="21"/>
                <w:szCs w:val="21"/>
              </w:rPr>
            </w:pPr>
            <w:r>
              <w:rPr>
                <w:rFonts w:cs="Times New Roman" w:hint="eastAsia"/>
                <w:sz w:val="21"/>
                <w:szCs w:val="21"/>
              </w:rPr>
              <w:t>合同负债</w:t>
            </w:r>
            <w:r>
              <w:rPr>
                <w:rFonts w:ascii="Times New Roman" w:hAnsi="Times New Roman" w:cs="Times New Roman"/>
                <w:sz w:val="21"/>
                <w:szCs w:val="21"/>
              </w:rPr>
              <w:t>-</w:t>
            </w:r>
            <w:r>
              <w:rPr>
                <w:rFonts w:cs="Times New Roman" w:hint="eastAsia"/>
                <w:sz w:val="21"/>
                <w:szCs w:val="21"/>
              </w:rPr>
              <w:t>预提销售返利</w:t>
            </w:r>
          </w:p>
        </w:tc>
        <w:tc>
          <w:tcPr>
            <w:tcW w:w="102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16,428.87</w:t>
            </w:r>
          </w:p>
        </w:tc>
        <w:tc>
          <w:tcPr>
            <w:tcW w:w="72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533"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76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659"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r>
      <w:tr w:rsidR="000C39A3">
        <w:trPr>
          <w:divId w:val="97868507"/>
          <w:trHeight w:val="369"/>
          <w:jc w:val="center"/>
        </w:trPr>
        <w:tc>
          <w:tcPr>
            <w:tcW w:w="1299" w:type="pct"/>
            <w:tcBorders>
              <w:top w:val="nil"/>
              <w:left w:val="single" w:sz="8" w:space="0" w:color="auto"/>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center"/>
              <w:rPr>
                <w:rFonts w:ascii="Times New Roman" w:hAnsi="Times New Roman" w:cs="Times New Roman"/>
                <w:sz w:val="21"/>
                <w:szCs w:val="21"/>
              </w:rPr>
            </w:pPr>
            <w:r>
              <w:rPr>
                <w:rFonts w:cs="Times New Roman" w:hint="eastAsia"/>
                <w:sz w:val="21"/>
                <w:szCs w:val="21"/>
              </w:rPr>
              <w:t>合计</w:t>
            </w:r>
          </w:p>
        </w:tc>
        <w:tc>
          <w:tcPr>
            <w:tcW w:w="1026"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1812A1">
            <w:pPr>
              <w:pStyle w:val="a4"/>
              <w:spacing w:before="0" w:beforeAutospacing="0" w:after="0" w:afterAutospacing="0"/>
              <w:jc w:val="right"/>
              <w:rPr>
                <w:rFonts w:ascii="Times New Roman" w:hAnsi="Times New Roman" w:cs="Times New Roman"/>
                <w:sz w:val="21"/>
                <w:szCs w:val="21"/>
              </w:rPr>
            </w:pPr>
            <w:r w:rsidRPr="001812A1">
              <w:rPr>
                <w:rFonts w:ascii="Times New Roman" w:hAnsi="Times New Roman" w:cs="Times New Roman"/>
                <w:sz w:val="21"/>
                <w:szCs w:val="21"/>
              </w:rPr>
              <w:t>36,960.44</w:t>
            </w:r>
          </w:p>
        </w:tc>
        <w:tc>
          <w:tcPr>
            <w:tcW w:w="721"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p>
        </w:tc>
        <w:tc>
          <w:tcPr>
            <w:tcW w:w="533"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cs="Times New Roman" w:hint="eastAsia"/>
                <w:sz w:val="21"/>
                <w:szCs w:val="21"/>
              </w:rPr>
              <w:t>－</w:t>
            </w:r>
          </w:p>
        </w:tc>
        <w:tc>
          <w:tcPr>
            <w:tcW w:w="762"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349.95</w:t>
            </w:r>
          </w:p>
        </w:tc>
        <w:tc>
          <w:tcPr>
            <w:tcW w:w="659" w:type="pct"/>
            <w:tcBorders>
              <w:top w:val="nil"/>
              <w:left w:val="nil"/>
              <w:bottom w:val="single" w:sz="8" w:space="0" w:color="auto"/>
              <w:right w:val="single" w:sz="8" w:space="0" w:color="auto"/>
            </w:tcBorders>
            <w:tcMar>
              <w:top w:w="0" w:type="dxa"/>
              <w:left w:w="0" w:type="dxa"/>
              <w:bottom w:w="0" w:type="dxa"/>
              <w:right w:w="108" w:type="dxa"/>
            </w:tcMar>
            <w:vAlign w:val="center"/>
            <w:hideMark/>
          </w:tcPr>
          <w:p w:rsidR="000C39A3" w:rsidRDefault="000C39A3">
            <w:pPr>
              <w:pStyle w:val="a4"/>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556.10</w:t>
            </w:r>
          </w:p>
        </w:tc>
      </w:tr>
    </w:tbl>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说明：</w:t>
      </w:r>
      <w:r>
        <w:rPr>
          <w:rFonts w:ascii="Times New Roman" w:hAnsi="Times New Roman" w:cs="Times New Roman"/>
        </w:rPr>
        <w:t>2022</w:t>
      </w:r>
      <w:r>
        <w:rPr>
          <w:rFonts w:cs="Times New Roman" w:hint="eastAsia"/>
        </w:rPr>
        <w:t>年</w:t>
      </w:r>
      <w:r>
        <w:rPr>
          <w:rFonts w:ascii="Times New Roman" w:hAnsi="Times New Roman" w:cs="Times New Roman"/>
        </w:rPr>
        <w:t>12</w:t>
      </w:r>
      <w:r>
        <w:rPr>
          <w:rFonts w:cs="Times New Roman" w:hint="eastAsia"/>
        </w:rPr>
        <w:t>月</w:t>
      </w:r>
      <w:r>
        <w:rPr>
          <w:rFonts w:ascii="Times New Roman" w:hAnsi="Times New Roman" w:cs="Times New Roman"/>
        </w:rPr>
        <w:t>31</w:t>
      </w:r>
      <w:r>
        <w:rPr>
          <w:rFonts w:cs="Times New Roman" w:hint="eastAsia"/>
        </w:rPr>
        <w:t>日期末</w:t>
      </w:r>
      <w:r>
        <w:rPr>
          <w:rFonts w:ascii="Times New Roman" w:hAnsi="Times New Roman" w:cs="Times New Roman"/>
        </w:rPr>
        <w:t>6</w:t>
      </w:r>
      <w:r>
        <w:rPr>
          <w:rFonts w:cs="Times New Roman" w:hint="eastAsia"/>
        </w:rPr>
        <w:t>个月内到期的应付账款中含已使用银行承兑票据背书支付期末未终止确认的金额</w:t>
      </w:r>
      <w:r>
        <w:rPr>
          <w:rFonts w:ascii="Times New Roman" w:hAnsi="Times New Roman" w:cs="Times New Roman"/>
        </w:rPr>
        <w:t>1,950.58</w:t>
      </w:r>
      <w:r>
        <w:rPr>
          <w:rFonts w:cs="Times New Roman" w:hint="eastAsia"/>
        </w:rPr>
        <w:t>万元。</w:t>
      </w:r>
    </w:p>
    <w:p w:rsidR="000C39A3" w:rsidRDefault="000C39A3">
      <w:pPr>
        <w:widowControl/>
        <w:numPr>
          <w:ilvl w:val="0"/>
          <w:numId w:val="5"/>
        </w:numPr>
        <w:spacing w:before="100" w:beforeAutospacing="1" w:after="100" w:afterAutospacing="1"/>
        <w:divId w:val="97868507"/>
        <w:rPr>
          <w:rFonts w:ascii="宋体" w:hAnsi="宋体" w:cs="宋体"/>
          <w:sz w:val="18"/>
          <w:szCs w:val="18"/>
        </w:rPr>
      </w:pPr>
      <w:r>
        <w:rPr>
          <w:rFonts w:hint="eastAsia"/>
        </w:rPr>
        <w:t>市场风险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w:t>
      </w:r>
      <w:r>
        <w:rPr>
          <w:rFonts w:ascii="Times New Roman" w:hAnsi="Times New Roman" w:cs="Times New Roman"/>
        </w:rPr>
        <w:t>1</w:t>
      </w:r>
      <w:r>
        <w:rPr>
          <w:rFonts w:cs="Times New Roman" w:hint="eastAsia"/>
        </w:rPr>
        <w:t>）外汇风险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lastRenderedPageBreak/>
        <w:t>本公司的汇率风险主要来自本公司持有的不以其记账本位币计价的外币资产和负债。本公司的主要业务以人民币计价结算。</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截止</w:t>
      </w:r>
      <w:r>
        <w:rPr>
          <w:rFonts w:ascii="Times New Roman" w:hAnsi="Times New Roman" w:cs="Times New Roman"/>
        </w:rPr>
        <w:t>2022</w:t>
      </w:r>
      <w:r>
        <w:rPr>
          <w:rFonts w:cs="Times New Roman" w:hint="eastAsia"/>
        </w:rPr>
        <w:t>年</w:t>
      </w:r>
      <w:r>
        <w:rPr>
          <w:rFonts w:ascii="Times New Roman" w:hAnsi="Times New Roman" w:cs="Times New Roman"/>
        </w:rPr>
        <w:t>12</w:t>
      </w:r>
      <w:r>
        <w:rPr>
          <w:rFonts w:cs="Times New Roman" w:hint="eastAsia"/>
        </w:rPr>
        <w:t>月</w:t>
      </w:r>
      <w:r>
        <w:rPr>
          <w:rFonts w:ascii="Times New Roman" w:hAnsi="Times New Roman" w:cs="Times New Roman"/>
        </w:rPr>
        <w:t>31</w:t>
      </w:r>
      <w:r>
        <w:rPr>
          <w:rFonts w:cs="Times New Roman" w:hint="eastAsia"/>
        </w:rPr>
        <w:t>日，本公司各外币资产负债项目的主要外汇风险敞口本附注七、</w:t>
      </w:r>
      <w:r>
        <w:rPr>
          <w:rFonts w:ascii="Times New Roman" w:hAnsi="Times New Roman" w:cs="Times New Roman"/>
        </w:rPr>
        <w:t>48</w:t>
      </w:r>
      <w:r>
        <w:rPr>
          <w:rFonts w:cs="Times New Roman" w:hint="eastAsia"/>
        </w:rPr>
        <w:t>。</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本公司密切关注汇率变动对本公司汇率风险的影响。本公司目前并未采取任何措施规避汇率风险。但管理层负责监控汇率风险，并将于需要时考虑对冲重大汇率风险。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于</w:t>
      </w:r>
      <w:r>
        <w:rPr>
          <w:rFonts w:ascii="Times New Roman" w:hAnsi="Times New Roman" w:cs="Times New Roman"/>
        </w:rPr>
        <w:t>2022</w:t>
      </w:r>
      <w:r>
        <w:rPr>
          <w:rFonts w:cs="Times New Roman" w:hint="eastAsia"/>
        </w:rPr>
        <w:t>年</w:t>
      </w:r>
      <w:r>
        <w:rPr>
          <w:rFonts w:ascii="Times New Roman" w:hAnsi="Times New Roman" w:cs="Times New Roman"/>
        </w:rPr>
        <w:t>12</w:t>
      </w:r>
      <w:r>
        <w:rPr>
          <w:rFonts w:cs="Times New Roman" w:hint="eastAsia"/>
        </w:rPr>
        <w:t>月</w:t>
      </w:r>
      <w:r>
        <w:rPr>
          <w:rFonts w:ascii="Times New Roman" w:hAnsi="Times New Roman" w:cs="Times New Roman"/>
        </w:rPr>
        <w:t>31</w:t>
      </w:r>
      <w:r>
        <w:rPr>
          <w:rFonts w:cs="Times New Roman" w:hint="eastAsia"/>
        </w:rPr>
        <w:t>日，在其他风险变量不变的情况下，如果当日人民币对于</w:t>
      </w:r>
      <w:r w:rsidR="006F5E8B">
        <w:rPr>
          <w:rFonts w:cs="Times New Roman" w:hint="eastAsia"/>
        </w:rPr>
        <w:t>外币</w:t>
      </w:r>
      <w:r>
        <w:rPr>
          <w:rFonts w:cs="Times New Roman" w:hint="eastAsia"/>
        </w:rPr>
        <w:t>升值或贬值</w:t>
      </w:r>
      <w:r>
        <w:rPr>
          <w:rFonts w:ascii="Times New Roman" w:hAnsi="Times New Roman" w:cs="Times New Roman"/>
        </w:rPr>
        <w:t>10%</w:t>
      </w:r>
      <w:r>
        <w:rPr>
          <w:rFonts w:cs="Times New Roman" w:hint="eastAsia"/>
        </w:rPr>
        <w:t>，那么本公司当年的净利润将增加或减少</w:t>
      </w:r>
      <w:r>
        <w:rPr>
          <w:rFonts w:ascii="Times New Roman" w:hAnsi="Times New Roman" w:cs="Times New Roman"/>
        </w:rPr>
        <w:t>62.69</w:t>
      </w:r>
      <w:r>
        <w:rPr>
          <w:rFonts w:cs="Times New Roman" w:hint="eastAsia"/>
        </w:rPr>
        <w:t>万元。</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w:t>
      </w:r>
      <w:r>
        <w:rPr>
          <w:rFonts w:ascii="Times New Roman" w:hAnsi="Times New Roman" w:cs="Times New Roman"/>
        </w:rPr>
        <w:t>2</w:t>
      </w:r>
      <w:r>
        <w:rPr>
          <w:rFonts w:cs="Times New Roman" w:hint="eastAsia"/>
        </w:rPr>
        <w:t>）利率风险</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本公司本期无短期银行借款等短期带息债务。</w:t>
      </w:r>
    </w:p>
    <w:p w:rsidR="000C39A3" w:rsidRDefault="000C39A3">
      <w:pPr>
        <w:pStyle w:val="a4"/>
        <w:spacing w:before="120" w:beforeAutospacing="0" w:after="0" w:afterAutospacing="0" w:line="360" w:lineRule="auto"/>
        <w:ind w:firstLine="480"/>
        <w:jc w:val="both"/>
        <w:divId w:val="97868507"/>
        <w:rPr>
          <w:rFonts w:ascii="Times New Roman" w:hAnsi="Times New Roman" w:cs="Times New Roman"/>
          <w:sz w:val="21"/>
          <w:szCs w:val="21"/>
        </w:rPr>
      </w:pPr>
      <w:r>
        <w:rPr>
          <w:rFonts w:cs="Times New Roman" w:hint="eastAsia"/>
        </w:rPr>
        <w:t>截止</w:t>
      </w:r>
      <w:r>
        <w:rPr>
          <w:rFonts w:ascii="Times New Roman" w:hAnsi="Times New Roman" w:cs="Times New Roman"/>
        </w:rPr>
        <w:t>2022</w:t>
      </w:r>
      <w:r>
        <w:rPr>
          <w:rFonts w:cs="Times New Roman" w:hint="eastAsia"/>
        </w:rPr>
        <w:t>年</w:t>
      </w:r>
      <w:r>
        <w:rPr>
          <w:rFonts w:ascii="Times New Roman" w:hAnsi="Times New Roman" w:cs="Times New Roman"/>
        </w:rPr>
        <w:t>12</w:t>
      </w:r>
      <w:r>
        <w:rPr>
          <w:rFonts w:cs="Times New Roman" w:hint="eastAsia"/>
        </w:rPr>
        <w:t>月</w:t>
      </w:r>
      <w:r>
        <w:rPr>
          <w:rFonts w:ascii="Times New Roman" w:hAnsi="Times New Roman" w:cs="Times New Roman"/>
        </w:rPr>
        <w:t>31</w:t>
      </w:r>
      <w:r>
        <w:rPr>
          <w:rFonts w:cs="Times New Roman" w:hint="eastAsia"/>
        </w:rPr>
        <w:t>日为止期间，利率风险对本公司当期的净利润无重大影响。</w:t>
      </w:r>
    </w:p>
    <w:p w:rsidR="0080594E" w:rsidRDefault="000C39A3">
      <w:pPr>
        <w:pStyle w:val="2"/>
        <w:spacing w:before="300" w:after="300" w:line="320" w:lineRule="exact"/>
        <w:rPr>
          <w:rFonts w:ascii="宋体" w:eastAsia="宋体" w:hAnsi="宋体" w:cs="宋体"/>
          <w:b/>
          <w:bCs/>
          <w:sz w:val="24"/>
          <w:szCs w:val="24"/>
        </w:rPr>
      </w:pPr>
      <w:bookmarkStart w:id="316" w:name="_Toc989206"/>
      <w:r>
        <w:rPr>
          <w:rFonts w:ascii="宋体" w:eastAsia="宋体" w:hAnsi="宋体" w:cs="宋体"/>
          <w:b/>
          <w:bCs/>
          <w:sz w:val="24"/>
          <w:szCs w:val="24"/>
        </w:rPr>
        <w:t>九、公允价值的披露</w:t>
      </w:r>
      <w:bookmarkEnd w:id="316"/>
    </w:p>
    <w:p w:rsidR="0080594E" w:rsidRDefault="000C39A3">
      <w:pPr>
        <w:pStyle w:val="3"/>
        <w:spacing w:line="280" w:lineRule="exact"/>
        <w:jc w:val="left"/>
        <w:rPr>
          <w:rFonts w:ascii="宋体" w:hAnsi="宋体" w:cs="宋体"/>
          <w:b/>
          <w:bCs/>
        </w:rPr>
      </w:pPr>
      <w:bookmarkStart w:id="317" w:name="_Toc989207"/>
      <w:r>
        <w:rPr>
          <w:rFonts w:ascii="宋体" w:hAnsi="宋体" w:cs="宋体"/>
          <w:b/>
          <w:bCs/>
        </w:rPr>
        <w:t>1、以公允价值计量的资产和负债的期末公允价值</w:t>
      </w:r>
      <w:bookmarkEnd w:id="317"/>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80594E">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7711"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期末公允价值</w:t>
            </w:r>
          </w:p>
        </w:tc>
      </w:tr>
      <w:tr w:rsidR="0080594E">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第一层次公允价值计量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第二层次公允价值计量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第三层次公允价值计量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一、持续的公允价值计量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应收款项融资</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持续以公允价值计量的资产总额</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c>
          <w:tcPr>
            <w:tcW w:w="1928"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11,156,622.41</w:t>
            </w:r>
          </w:p>
        </w:tc>
      </w:tr>
      <w:tr w:rsidR="0080594E">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二、非持续的公允价值计量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80594E" w:rsidRDefault="000C39A3">
      <w:pPr>
        <w:pStyle w:val="3"/>
        <w:spacing w:line="280" w:lineRule="exact"/>
        <w:jc w:val="left"/>
        <w:rPr>
          <w:rFonts w:ascii="宋体" w:hAnsi="宋体" w:cs="宋体"/>
          <w:b/>
          <w:bCs/>
        </w:rPr>
      </w:pPr>
      <w:bookmarkStart w:id="318" w:name="_Toc989208"/>
      <w:r>
        <w:rPr>
          <w:rFonts w:ascii="宋体" w:hAnsi="宋体" w:cs="宋体"/>
          <w:b/>
          <w:bCs/>
        </w:rPr>
        <w:t>2、持续和非持续第一层次公允价值计量项目市价的确定依据</w:t>
      </w:r>
      <w:bookmarkEnd w:id="318"/>
    </w:p>
    <w:p w:rsidR="000C39A3" w:rsidRDefault="000C39A3">
      <w:pPr>
        <w:pStyle w:val="a4"/>
        <w:spacing w:before="0" w:beforeAutospacing="0" w:after="120" w:afterAutospacing="0" w:line="360" w:lineRule="auto"/>
        <w:ind w:firstLine="480"/>
        <w:jc w:val="both"/>
        <w:divId w:val="633366675"/>
        <w:rPr>
          <w:rFonts w:ascii="Times New Roman" w:hAnsi="Times New Roman" w:cs="Times New Roman"/>
          <w:sz w:val="21"/>
          <w:szCs w:val="21"/>
        </w:rPr>
      </w:pPr>
      <w:r>
        <w:rPr>
          <w:rFonts w:cs="Times New Roman" w:hint="eastAsia"/>
        </w:rPr>
        <w:t>期末交易性金融资产为信用等级较高的银行承兑汇票，由于信用等级较高的银行承兑汇票的期限较短且发生信用损失的可能性很小，票面金额与公允价值相近，因此公司采用票据金额作为其公允价值的近似估计值。</w:t>
      </w:r>
    </w:p>
    <w:p w:rsidR="0080594E" w:rsidRDefault="000C39A3">
      <w:pPr>
        <w:pStyle w:val="3"/>
        <w:spacing w:line="280" w:lineRule="exact"/>
        <w:jc w:val="left"/>
        <w:rPr>
          <w:rFonts w:ascii="宋体" w:hAnsi="宋体" w:cs="宋体"/>
          <w:b/>
          <w:bCs/>
        </w:rPr>
      </w:pPr>
      <w:bookmarkStart w:id="319" w:name="_Toc989209"/>
      <w:r>
        <w:rPr>
          <w:rFonts w:ascii="宋体" w:hAnsi="宋体" w:cs="宋体"/>
          <w:b/>
          <w:bCs/>
        </w:rPr>
        <w:lastRenderedPageBreak/>
        <w:t>3、持续和非持续第二层次公允价值计量项目，采用的估值技术和重要参数的定性及定量信息</w:t>
      </w:r>
      <w:bookmarkEnd w:id="319"/>
    </w:p>
    <w:p w:rsidR="000C39A3" w:rsidRDefault="000C39A3">
      <w:pPr>
        <w:pStyle w:val="a4"/>
        <w:spacing w:before="120" w:beforeAutospacing="0" w:after="0" w:afterAutospacing="0" w:line="360" w:lineRule="auto"/>
        <w:ind w:firstLine="480"/>
        <w:jc w:val="both"/>
        <w:divId w:val="1846287525"/>
        <w:rPr>
          <w:rFonts w:ascii="Times New Roman" w:hAnsi="Times New Roman" w:cs="Times New Roman"/>
          <w:sz w:val="21"/>
          <w:szCs w:val="21"/>
        </w:rPr>
      </w:pPr>
      <w:r>
        <w:rPr>
          <w:rFonts w:cs="Times New Roman" w:hint="eastAsia"/>
        </w:rPr>
        <w:t>本期本公司的金融资产及金融负债的公允价值计量未发生第一层次和第二层次之间的转换，亦无转入或转出第三层次的情况。</w:t>
      </w:r>
    </w:p>
    <w:p w:rsidR="0080594E" w:rsidRDefault="000C39A3">
      <w:pPr>
        <w:pStyle w:val="3"/>
        <w:spacing w:line="280" w:lineRule="exact"/>
        <w:jc w:val="left"/>
        <w:rPr>
          <w:rFonts w:ascii="宋体" w:hAnsi="宋体" w:cs="宋体"/>
          <w:b/>
          <w:bCs/>
        </w:rPr>
      </w:pPr>
      <w:bookmarkStart w:id="320" w:name="_Toc989210"/>
      <w:r>
        <w:rPr>
          <w:rFonts w:ascii="宋体" w:hAnsi="宋体" w:cs="宋体"/>
          <w:b/>
          <w:bCs/>
        </w:rPr>
        <w:t>4、不以公允价值计量的金融资产和金融负债的公允价值情况</w:t>
      </w:r>
      <w:bookmarkEnd w:id="320"/>
    </w:p>
    <w:p w:rsidR="000C39A3" w:rsidRDefault="000C39A3">
      <w:pPr>
        <w:pStyle w:val="a4"/>
        <w:spacing w:before="120" w:beforeAutospacing="0" w:after="0" w:afterAutospacing="0" w:line="360" w:lineRule="auto"/>
        <w:ind w:firstLine="480"/>
        <w:jc w:val="both"/>
        <w:divId w:val="1666781203"/>
        <w:rPr>
          <w:rFonts w:ascii="Times New Roman" w:hAnsi="Times New Roman" w:cs="Times New Roman"/>
          <w:sz w:val="21"/>
          <w:szCs w:val="21"/>
        </w:rPr>
      </w:pPr>
      <w:r>
        <w:rPr>
          <w:rFonts w:cs="Times New Roman" w:hint="eastAsia"/>
        </w:rPr>
        <w:t>本公司以摊余成本计量的金融资产和金融负债主要包括：货币资金、应收票据、应收账款、其他应收款、应付票据、应付账款、其他应付款等。不以公允价值计量的金融资产和金融负债的账面价值与公允价值相差很小。</w:t>
      </w:r>
    </w:p>
    <w:p w:rsidR="0080594E" w:rsidRDefault="000C39A3">
      <w:pPr>
        <w:pStyle w:val="2"/>
        <w:spacing w:before="300" w:after="300" w:line="320" w:lineRule="exact"/>
        <w:rPr>
          <w:rFonts w:ascii="宋体" w:eastAsia="宋体" w:hAnsi="宋体" w:cs="宋体"/>
          <w:b/>
          <w:bCs/>
          <w:sz w:val="24"/>
          <w:szCs w:val="24"/>
        </w:rPr>
      </w:pPr>
      <w:bookmarkStart w:id="321" w:name="_Toc989211"/>
      <w:r>
        <w:rPr>
          <w:rFonts w:ascii="宋体" w:eastAsia="宋体" w:hAnsi="宋体" w:cs="宋体"/>
          <w:b/>
          <w:bCs/>
          <w:sz w:val="24"/>
          <w:szCs w:val="24"/>
        </w:rPr>
        <w:t>十、关联方及关联交易</w:t>
      </w:r>
      <w:bookmarkEnd w:id="321"/>
    </w:p>
    <w:p w:rsidR="0080594E" w:rsidRDefault="000C39A3">
      <w:pPr>
        <w:pStyle w:val="3"/>
        <w:spacing w:line="280" w:lineRule="exact"/>
        <w:jc w:val="left"/>
        <w:rPr>
          <w:rFonts w:ascii="宋体" w:hAnsi="宋体" w:cs="宋体"/>
          <w:b/>
          <w:bCs/>
        </w:rPr>
      </w:pPr>
      <w:bookmarkStart w:id="322" w:name="_Toc989212"/>
      <w:r>
        <w:rPr>
          <w:rFonts w:ascii="宋体" w:hAnsi="宋体" w:cs="宋体"/>
          <w:b/>
          <w:bCs/>
        </w:rPr>
        <w:t>1、本企业的母公司情况</w:t>
      </w:r>
      <w:bookmarkEnd w:id="322"/>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80594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母公司名称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注册地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业务性质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注册资本</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母公司对本企业的持股比例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母公司对本企业的表决权比例</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本企业的母公司情况的说明</w:t>
      </w:r>
    </w:p>
    <w:p w:rsidR="0080594E" w:rsidRDefault="0080594E"/>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本企业最终控制方是韩萤焕、罗秀英、韩文浩。</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323" w:name="_Toc989213"/>
      <w:r>
        <w:rPr>
          <w:rFonts w:ascii="宋体" w:hAnsi="宋体" w:cs="宋体"/>
          <w:b/>
          <w:bCs/>
        </w:rPr>
        <w:t>2、其他关联方情况</w:t>
      </w:r>
      <w:bookmarkEnd w:id="323"/>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其他关联方名称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其他关联方与本企业关系</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本公司的股东、实际控制人控制的公司</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董事、监事、高级管理人员</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本公司关键管理人员</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0594E" w:rsidRDefault="0080594E"/>
    <w:p w:rsidR="0080594E" w:rsidRDefault="000C39A3">
      <w:pPr>
        <w:pStyle w:val="3"/>
        <w:spacing w:line="280" w:lineRule="exact"/>
        <w:jc w:val="left"/>
        <w:rPr>
          <w:rFonts w:ascii="宋体" w:hAnsi="宋体" w:cs="宋体"/>
          <w:b/>
          <w:bCs/>
        </w:rPr>
      </w:pPr>
      <w:bookmarkStart w:id="324" w:name="_Toc989214"/>
      <w:r>
        <w:rPr>
          <w:rFonts w:ascii="宋体" w:hAnsi="宋体" w:cs="宋体"/>
          <w:b/>
          <w:bCs/>
        </w:rPr>
        <w:t>3、关联交易情况</w:t>
      </w:r>
      <w:bookmarkEnd w:id="324"/>
    </w:p>
    <w:p w:rsidR="0080594E" w:rsidRDefault="000C39A3">
      <w:pPr>
        <w:keepNext/>
        <w:keepLines/>
        <w:spacing w:before="300" w:after="300" w:line="280" w:lineRule="exact"/>
        <w:outlineLvl w:val="3"/>
        <w:rPr>
          <w:rFonts w:ascii="宋体" w:eastAsia="宋体" w:hAnsi="宋体" w:cs="宋体"/>
          <w:b/>
          <w:bCs/>
          <w:szCs w:val="21"/>
        </w:rPr>
      </w:pPr>
      <w:bookmarkStart w:id="325" w:name="_Toc989215"/>
      <w:r>
        <w:rPr>
          <w:rFonts w:ascii="宋体" w:eastAsia="宋体" w:hAnsi="宋体" w:cs="宋体"/>
          <w:b/>
          <w:bCs/>
          <w:szCs w:val="21"/>
        </w:rPr>
        <w:t>（1） 关键管理人员报酬</w:t>
      </w:r>
      <w:bookmarkEnd w:id="325"/>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关键管理人员报酬</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9,200,287.18</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9,453,115.80</w:t>
            </w:r>
          </w:p>
        </w:tc>
      </w:tr>
    </w:tbl>
    <w:p w:rsidR="0080594E" w:rsidRDefault="000C39A3">
      <w:pPr>
        <w:keepNext/>
        <w:keepLines/>
        <w:spacing w:before="300" w:after="300" w:line="280" w:lineRule="exact"/>
        <w:outlineLvl w:val="3"/>
        <w:rPr>
          <w:rFonts w:ascii="宋体" w:eastAsia="宋体" w:hAnsi="宋体" w:cs="宋体"/>
          <w:b/>
          <w:bCs/>
          <w:szCs w:val="21"/>
        </w:rPr>
      </w:pPr>
      <w:bookmarkStart w:id="326" w:name="_Toc989216"/>
      <w:r>
        <w:rPr>
          <w:rFonts w:ascii="宋体" w:eastAsia="宋体" w:hAnsi="宋体" w:cs="宋体"/>
          <w:b/>
          <w:bCs/>
          <w:szCs w:val="21"/>
        </w:rPr>
        <w:t>（2） 其他关联交易</w:t>
      </w:r>
      <w:bookmarkEnd w:id="326"/>
    </w:p>
    <w:p w:rsidR="000C39A3" w:rsidRPr="008071B9" w:rsidRDefault="000C39A3">
      <w:pPr>
        <w:pStyle w:val="a4"/>
        <w:divId w:val="757554312"/>
      </w:pPr>
      <w:r w:rsidRPr="008071B9">
        <w:rPr>
          <w:rFonts w:hint="eastAsia"/>
        </w:rPr>
        <w:t>本报告期内无其他关联交易。</w:t>
      </w:r>
    </w:p>
    <w:p w:rsidR="0080594E" w:rsidRDefault="000C39A3">
      <w:pPr>
        <w:pStyle w:val="2"/>
        <w:spacing w:before="300" w:after="300" w:line="320" w:lineRule="exact"/>
        <w:rPr>
          <w:rFonts w:ascii="宋体" w:eastAsia="宋体" w:hAnsi="宋体" w:cs="宋体"/>
          <w:b/>
          <w:bCs/>
          <w:sz w:val="24"/>
          <w:szCs w:val="24"/>
        </w:rPr>
      </w:pPr>
      <w:bookmarkStart w:id="327" w:name="_Toc989217"/>
      <w:r>
        <w:rPr>
          <w:rFonts w:ascii="宋体" w:eastAsia="宋体" w:hAnsi="宋体" w:cs="宋体"/>
          <w:b/>
          <w:bCs/>
          <w:sz w:val="24"/>
          <w:szCs w:val="24"/>
        </w:rPr>
        <w:lastRenderedPageBreak/>
        <w:t>十一、股份支付</w:t>
      </w:r>
      <w:bookmarkEnd w:id="327"/>
    </w:p>
    <w:p w:rsidR="0080594E" w:rsidRDefault="000C39A3">
      <w:pPr>
        <w:pStyle w:val="3"/>
        <w:spacing w:line="280" w:lineRule="exact"/>
        <w:jc w:val="left"/>
        <w:rPr>
          <w:rFonts w:ascii="宋体" w:hAnsi="宋体" w:cs="宋体"/>
          <w:b/>
          <w:bCs/>
        </w:rPr>
      </w:pPr>
      <w:bookmarkStart w:id="328" w:name="_Toc989218"/>
      <w:r>
        <w:rPr>
          <w:rFonts w:ascii="宋体" w:hAnsi="宋体" w:cs="宋体"/>
          <w:b/>
          <w:bCs/>
        </w:rPr>
        <w:t>1、股份支付总体情况</w:t>
      </w:r>
      <w:bookmarkEnd w:id="328"/>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329" w:name="_Toc989219"/>
      <w:r>
        <w:rPr>
          <w:rFonts w:ascii="宋体" w:hAnsi="宋体" w:cs="宋体"/>
          <w:b/>
          <w:bCs/>
        </w:rPr>
        <w:t>2、以权益结算的股份支付情况</w:t>
      </w:r>
      <w:bookmarkEnd w:id="329"/>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330" w:name="_Toc989220"/>
      <w:r>
        <w:rPr>
          <w:rFonts w:ascii="宋体" w:hAnsi="宋体" w:cs="宋体"/>
          <w:b/>
          <w:bCs/>
        </w:rPr>
        <w:t>3、以现金结算的股份支付情况</w:t>
      </w:r>
      <w:bookmarkEnd w:id="330"/>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rsidP="008071B9">
      <w:pPr>
        <w:pStyle w:val="3"/>
        <w:spacing w:line="280" w:lineRule="exact"/>
        <w:jc w:val="left"/>
      </w:pPr>
      <w:bookmarkStart w:id="331" w:name="_Toc989221"/>
      <w:r>
        <w:rPr>
          <w:rFonts w:ascii="宋体" w:hAnsi="宋体" w:cs="宋体"/>
          <w:b/>
          <w:bCs/>
        </w:rPr>
        <w:t>4、股份支付的修改、终止情况</w:t>
      </w:r>
      <w:bookmarkEnd w:id="331"/>
    </w:p>
    <w:p w:rsidR="0080594E" w:rsidRDefault="000C39A3" w:rsidP="008071B9">
      <w:pPr>
        <w:pStyle w:val="3"/>
        <w:spacing w:line="280" w:lineRule="exact"/>
        <w:jc w:val="left"/>
      </w:pPr>
      <w:bookmarkStart w:id="332" w:name="_Toc989222"/>
      <w:r>
        <w:rPr>
          <w:rFonts w:ascii="宋体" w:hAnsi="宋体" w:cs="宋体"/>
          <w:b/>
          <w:bCs/>
        </w:rPr>
        <w:t xml:space="preserve">5、其他 </w:t>
      </w:r>
      <w:bookmarkEnd w:id="332"/>
    </w:p>
    <w:p w:rsidR="0080594E" w:rsidRDefault="000C39A3">
      <w:pPr>
        <w:pStyle w:val="2"/>
        <w:spacing w:before="300" w:after="300" w:line="320" w:lineRule="exact"/>
        <w:rPr>
          <w:rFonts w:ascii="宋体" w:eastAsia="宋体" w:hAnsi="宋体" w:cs="宋体"/>
          <w:b/>
          <w:bCs/>
          <w:sz w:val="24"/>
          <w:szCs w:val="24"/>
        </w:rPr>
      </w:pPr>
      <w:bookmarkStart w:id="333" w:name="_Toc989223"/>
      <w:r>
        <w:rPr>
          <w:rFonts w:ascii="宋体" w:eastAsia="宋体" w:hAnsi="宋体" w:cs="宋体"/>
          <w:b/>
          <w:bCs/>
          <w:sz w:val="24"/>
          <w:szCs w:val="24"/>
        </w:rPr>
        <w:t>十二、承诺及或有事项</w:t>
      </w:r>
      <w:bookmarkEnd w:id="333"/>
    </w:p>
    <w:p w:rsidR="0080594E" w:rsidRDefault="000C39A3">
      <w:pPr>
        <w:pStyle w:val="3"/>
        <w:spacing w:line="280" w:lineRule="exact"/>
        <w:jc w:val="left"/>
        <w:rPr>
          <w:rFonts w:ascii="宋体" w:hAnsi="宋体" w:cs="宋体"/>
          <w:b/>
          <w:bCs/>
        </w:rPr>
      </w:pPr>
      <w:bookmarkStart w:id="334" w:name="_Toc989224"/>
      <w:r>
        <w:rPr>
          <w:rFonts w:ascii="宋体" w:hAnsi="宋体" w:cs="宋体"/>
          <w:b/>
          <w:bCs/>
        </w:rPr>
        <w:t>1、重要承诺事项</w:t>
      </w:r>
      <w:bookmarkEnd w:id="334"/>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资产负债表日存在的重要承诺</w:t>
      </w:r>
    </w:p>
    <w:p w:rsidR="000C39A3" w:rsidRDefault="000C39A3">
      <w:pPr>
        <w:pStyle w:val="a4"/>
        <w:spacing w:before="120" w:beforeAutospacing="0" w:after="0" w:afterAutospacing="0" w:line="360" w:lineRule="auto"/>
        <w:ind w:firstLine="480"/>
        <w:jc w:val="both"/>
        <w:divId w:val="1922063748"/>
        <w:rPr>
          <w:rFonts w:ascii="Times New Roman" w:hAnsi="Times New Roman" w:cs="Times New Roman"/>
          <w:sz w:val="21"/>
          <w:szCs w:val="21"/>
        </w:rPr>
      </w:pPr>
      <w:r>
        <w:rPr>
          <w:rFonts w:cs="Times New Roman" w:hint="eastAsia"/>
          <w:color w:val="000000"/>
        </w:rPr>
        <w:t>（</w:t>
      </w:r>
      <w:r>
        <w:rPr>
          <w:rFonts w:ascii="Times New Roman" w:hAnsi="Times New Roman" w:cs="Times New Roman"/>
          <w:color w:val="000000"/>
        </w:rPr>
        <w:t>1</w:t>
      </w:r>
      <w:r>
        <w:rPr>
          <w:rFonts w:cs="Times New Roman" w:hint="eastAsia"/>
          <w:color w:val="000000"/>
        </w:rPr>
        <w:t>）</w:t>
      </w:r>
      <w:r>
        <w:rPr>
          <w:rFonts w:ascii="Times New Roman" w:hAnsi="Times New Roman" w:cs="Times New Roman"/>
          <w:color w:val="000000"/>
        </w:rPr>
        <w:t>2022</w:t>
      </w:r>
      <w:r>
        <w:rPr>
          <w:rFonts w:cs="Times New Roman" w:hint="eastAsia"/>
          <w:color w:val="000000"/>
        </w:rPr>
        <w:t>年至</w:t>
      </w:r>
      <w:r>
        <w:rPr>
          <w:rFonts w:ascii="Times New Roman" w:hAnsi="Times New Roman" w:cs="Times New Roman"/>
          <w:color w:val="000000"/>
        </w:rPr>
        <w:t>2026</w:t>
      </w:r>
      <w:r>
        <w:rPr>
          <w:rFonts w:cs="Times New Roman" w:hint="eastAsia"/>
          <w:color w:val="000000"/>
        </w:rPr>
        <w:t>年在厦门市同安区纳税承诺</w:t>
      </w:r>
    </w:p>
    <w:p w:rsidR="000C39A3" w:rsidRDefault="000C39A3" w:rsidP="008071B9">
      <w:pPr>
        <w:pStyle w:val="a4"/>
        <w:spacing w:before="120" w:beforeAutospacing="0" w:after="0" w:afterAutospacing="0" w:line="360" w:lineRule="auto"/>
        <w:ind w:firstLine="482"/>
        <w:jc w:val="both"/>
        <w:divId w:val="1922063748"/>
        <w:rPr>
          <w:rFonts w:ascii="Times New Roman" w:hAnsi="Times New Roman" w:cs="Times New Roman"/>
          <w:sz w:val="21"/>
          <w:szCs w:val="21"/>
        </w:rPr>
      </w:pPr>
      <w:r>
        <w:rPr>
          <w:rFonts w:ascii="Times New Roman" w:hAnsi="Times New Roman" w:cs="Times New Roman"/>
          <w:color w:val="000000"/>
        </w:rPr>
        <w:t>2018</w:t>
      </w:r>
      <w:r>
        <w:rPr>
          <w:rFonts w:cs="Times New Roman" w:hint="eastAsia"/>
          <w:color w:val="000000"/>
        </w:rPr>
        <w:t>年</w:t>
      </w:r>
      <w:r>
        <w:rPr>
          <w:rFonts w:ascii="Times New Roman" w:hAnsi="Times New Roman" w:cs="Times New Roman"/>
          <w:color w:val="000000"/>
        </w:rPr>
        <w:t>10</w:t>
      </w:r>
      <w:r>
        <w:rPr>
          <w:rFonts w:cs="Times New Roman" w:hint="eastAsia"/>
          <w:color w:val="000000"/>
        </w:rPr>
        <w:t>月，本公司与厦门市国土资源与房产管理局同安分局签署《厦门市国有建设用地使用权出让合同》（合同编号：</w:t>
      </w:r>
      <w:r>
        <w:rPr>
          <w:rFonts w:ascii="Times New Roman" w:hAnsi="Times New Roman" w:cs="Times New Roman"/>
          <w:color w:val="000000"/>
        </w:rPr>
        <w:t>35021220181024CG045</w:t>
      </w:r>
      <w:r>
        <w:rPr>
          <w:rFonts w:cs="Times New Roman" w:hint="eastAsia"/>
          <w:color w:val="000000"/>
        </w:rPr>
        <w:t>），与厦门市同安区人民政府签署《</w:t>
      </w:r>
      <w:r>
        <w:rPr>
          <w:rFonts w:ascii="Times New Roman" w:hAnsi="Times New Roman" w:cs="Times New Roman"/>
          <w:color w:val="000000"/>
        </w:rPr>
        <w:t>T2018G02-G</w:t>
      </w:r>
      <w:r>
        <w:rPr>
          <w:rFonts w:cs="Times New Roman" w:hint="eastAsia"/>
          <w:color w:val="000000"/>
        </w:rPr>
        <w:t>地块监管协议》（以下统称</w:t>
      </w:r>
      <w:r>
        <w:rPr>
          <w:rFonts w:ascii="Times New Roman" w:hAnsi="Times New Roman" w:cs="Times New Roman"/>
          <w:color w:val="000000"/>
        </w:rPr>
        <w:t>“</w:t>
      </w:r>
      <w:r>
        <w:rPr>
          <w:rFonts w:cs="Times New Roman" w:hint="eastAsia"/>
          <w:color w:val="000000"/>
        </w:rPr>
        <w:t>土地协议</w:t>
      </w:r>
      <w:r>
        <w:rPr>
          <w:rFonts w:ascii="Times New Roman" w:hAnsi="Times New Roman" w:cs="Times New Roman"/>
          <w:color w:val="000000"/>
        </w:rPr>
        <w:t>”</w:t>
      </w:r>
      <w:r>
        <w:rPr>
          <w:rFonts w:cs="Times New Roman" w:hint="eastAsia"/>
          <w:color w:val="000000"/>
        </w:rPr>
        <w:t>），取得位于同安区通福路与官浔路交叉口西北侧地块。根据土地协议，就税收要求约定如下：本公司从</w:t>
      </w:r>
      <w:r>
        <w:rPr>
          <w:rFonts w:ascii="Times New Roman" w:hAnsi="Times New Roman" w:cs="Times New Roman"/>
          <w:color w:val="000000"/>
        </w:rPr>
        <w:t>2020</w:t>
      </w:r>
      <w:r>
        <w:rPr>
          <w:rFonts w:cs="Times New Roman" w:hint="eastAsia"/>
          <w:color w:val="000000"/>
        </w:rPr>
        <w:t>年起至</w:t>
      </w:r>
      <w:r>
        <w:rPr>
          <w:rFonts w:ascii="Times New Roman" w:hAnsi="Times New Roman" w:cs="Times New Roman"/>
          <w:color w:val="000000"/>
        </w:rPr>
        <w:t>2024</w:t>
      </w:r>
      <w:r>
        <w:rPr>
          <w:rFonts w:cs="Times New Roman" w:hint="eastAsia"/>
          <w:color w:val="000000"/>
        </w:rPr>
        <w:t>年每年度在厦门市同安区缴纳的税收应不低于</w:t>
      </w:r>
      <w:r>
        <w:rPr>
          <w:rFonts w:ascii="Times New Roman" w:hAnsi="Times New Roman" w:cs="Times New Roman"/>
          <w:color w:val="000000"/>
        </w:rPr>
        <w:t>6,000</w:t>
      </w:r>
      <w:r>
        <w:rPr>
          <w:rFonts w:cs="Times New Roman" w:hint="eastAsia"/>
          <w:color w:val="000000"/>
        </w:rPr>
        <w:t>万元人民币（不含关税和房地产相关税收，以税务部门出具的纳税证明为准）。若未完成年度纳税额，本公司应在下一个年度的第一个季度向厦门市同安区政府缴交实际纳税额与承诺纳税额差额部分等额的违约金。若</w:t>
      </w:r>
      <w:r>
        <w:rPr>
          <w:rFonts w:ascii="Times New Roman" w:hAnsi="Times New Roman" w:cs="Times New Roman"/>
          <w:color w:val="000000"/>
        </w:rPr>
        <w:t>2020</w:t>
      </w:r>
      <w:r>
        <w:rPr>
          <w:rFonts w:cs="Times New Roman" w:hint="eastAsia"/>
          <w:color w:val="000000"/>
        </w:rPr>
        <w:t>年起至</w:t>
      </w:r>
      <w:r>
        <w:rPr>
          <w:rFonts w:ascii="Times New Roman" w:hAnsi="Times New Roman" w:cs="Times New Roman"/>
          <w:color w:val="000000"/>
        </w:rPr>
        <w:t>2024</w:t>
      </w:r>
      <w:r>
        <w:rPr>
          <w:rFonts w:cs="Times New Roman" w:hint="eastAsia"/>
          <w:color w:val="000000"/>
        </w:rPr>
        <w:t>年本公司在厦门市同安区累计缴纳的税收总额不低于</w:t>
      </w:r>
      <w:r>
        <w:rPr>
          <w:rFonts w:ascii="Times New Roman" w:hAnsi="Times New Roman" w:cs="Times New Roman"/>
          <w:color w:val="000000"/>
        </w:rPr>
        <w:t>30,000</w:t>
      </w:r>
      <w:r>
        <w:rPr>
          <w:rFonts w:cs="Times New Roman" w:hint="eastAsia"/>
          <w:color w:val="000000"/>
        </w:rPr>
        <w:t>万元人民币，厦门市同安区政府将在</w:t>
      </w:r>
      <w:r>
        <w:rPr>
          <w:rFonts w:ascii="Times New Roman" w:hAnsi="Times New Roman" w:cs="Times New Roman"/>
          <w:color w:val="000000"/>
        </w:rPr>
        <w:t>2025</w:t>
      </w:r>
      <w:r>
        <w:rPr>
          <w:rFonts w:cs="Times New Roman" w:hint="eastAsia"/>
          <w:color w:val="000000"/>
        </w:rPr>
        <w:t>年的第一季度无息退还本公司已缴纳的违约金。</w:t>
      </w:r>
    </w:p>
    <w:p w:rsidR="000C39A3" w:rsidRDefault="000C39A3" w:rsidP="008071B9">
      <w:pPr>
        <w:pStyle w:val="a4"/>
        <w:spacing w:before="120" w:beforeAutospacing="0" w:after="0" w:afterAutospacing="0" w:line="360" w:lineRule="auto"/>
        <w:ind w:firstLine="482"/>
        <w:jc w:val="both"/>
        <w:divId w:val="1922063748"/>
        <w:rPr>
          <w:rFonts w:ascii="Times New Roman" w:hAnsi="Times New Roman" w:cs="Times New Roman"/>
          <w:sz w:val="21"/>
          <w:szCs w:val="21"/>
        </w:rPr>
      </w:pPr>
      <w:r>
        <w:rPr>
          <w:rFonts w:ascii="Times New Roman" w:hAnsi="Times New Roman" w:cs="Times New Roman"/>
          <w:color w:val="000000"/>
        </w:rPr>
        <w:t>2020</w:t>
      </w:r>
      <w:r>
        <w:rPr>
          <w:rFonts w:cs="Times New Roman" w:hint="eastAsia"/>
          <w:color w:val="000000"/>
        </w:rPr>
        <w:t>年</w:t>
      </w:r>
      <w:r>
        <w:rPr>
          <w:rFonts w:ascii="Times New Roman" w:hAnsi="Times New Roman" w:cs="Times New Roman"/>
          <w:color w:val="000000"/>
        </w:rPr>
        <w:t>11</w:t>
      </w:r>
      <w:r>
        <w:rPr>
          <w:rFonts w:cs="Times New Roman" w:hint="eastAsia"/>
          <w:color w:val="000000"/>
        </w:rPr>
        <w:t>月</w:t>
      </w:r>
      <w:r>
        <w:rPr>
          <w:rFonts w:ascii="Times New Roman" w:hAnsi="Times New Roman" w:cs="Times New Roman"/>
          <w:color w:val="000000"/>
        </w:rPr>
        <w:t>27</w:t>
      </w:r>
      <w:r>
        <w:rPr>
          <w:rFonts w:cs="Times New Roman" w:hint="eastAsia"/>
          <w:color w:val="000000"/>
        </w:rPr>
        <w:t>日，本公司与厦门市同安区人民政府就上述土地协议签定了《《</w:t>
      </w:r>
      <w:r>
        <w:rPr>
          <w:rFonts w:ascii="Times New Roman" w:hAnsi="Times New Roman" w:cs="Times New Roman"/>
          <w:color w:val="000000"/>
        </w:rPr>
        <w:t>T2018G02-G</w:t>
      </w:r>
      <w:r>
        <w:rPr>
          <w:rFonts w:cs="Times New Roman" w:hint="eastAsia"/>
          <w:color w:val="000000"/>
        </w:rPr>
        <w:t>地块监管协议》之补充协议》。根据该补充协议，原税收要求变更为：本公司从</w:t>
      </w:r>
      <w:r>
        <w:rPr>
          <w:rFonts w:ascii="Times New Roman" w:hAnsi="Times New Roman" w:cs="Times New Roman"/>
          <w:color w:val="000000"/>
        </w:rPr>
        <w:t>2022</w:t>
      </w:r>
      <w:r>
        <w:rPr>
          <w:rFonts w:cs="Times New Roman" w:hint="eastAsia"/>
          <w:color w:val="000000"/>
        </w:rPr>
        <w:t>年起至</w:t>
      </w:r>
      <w:r>
        <w:rPr>
          <w:rFonts w:ascii="Times New Roman" w:hAnsi="Times New Roman" w:cs="Times New Roman"/>
          <w:color w:val="000000"/>
        </w:rPr>
        <w:t>2026</w:t>
      </w:r>
      <w:r>
        <w:rPr>
          <w:rFonts w:cs="Times New Roman" w:hint="eastAsia"/>
          <w:color w:val="000000"/>
        </w:rPr>
        <w:t>年每年度在厦门市同安区缴纳的税收应不低于</w:t>
      </w:r>
      <w:r>
        <w:rPr>
          <w:rFonts w:ascii="Times New Roman" w:hAnsi="Times New Roman" w:cs="Times New Roman"/>
          <w:color w:val="000000"/>
        </w:rPr>
        <w:t>6,000</w:t>
      </w:r>
      <w:r>
        <w:rPr>
          <w:rFonts w:cs="Times New Roman" w:hint="eastAsia"/>
          <w:color w:val="000000"/>
        </w:rPr>
        <w:t>万元人民币（不含关税和房地产相关税收，以税务部门出具的纳税证明为准）。若未完成年度纳税额，本公司应在下一个年度的第一个季度向厦门市同安区政府缴交实际纳税额与承诺纳税</w:t>
      </w:r>
      <w:r>
        <w:rPr>
          <w:rFonts w:cs="Times New Roman" w:hint="eastAsia"/>
          <w:color w:val="000000"/>
        </w:rPr>
        <w:lastRenderedPageBreak/>
        <w:t>额差额部分等额的违约金。若</w:t>
      </w:r>
      <w:r>
        <w:rPr>
          <w:rFonts w:ascii="Times New Roman" w:hAnsi="Times New Roman" w:cs="Times New Roman"/>
          <w:color w:val="000000"/>
        </w:rPr>
        <w:t>2022</w:t>
      </w:r>
      <w:r>
        <w:rPr>
          <w:rFonts w:cs="Times New Roman" w:hint="eastAsia"/>
          <w:color w:val="000000"/>
        </w:rPr>
        <w:t>年起至</w:t>
      </w:r>
      <w:r>
        <w:rPr>
          <w:rFonts w:ascii="Times New Roman" w:hAnsi="Times New Roman" w:cs="Times New Roman"/>
          <w:color w:val="000000"/>
        </w:rPr>
        <w:t>2026</w:t>
      </w:r>
      <w:r>
        <w:rPr>
          <w:rFonts w:cs="Times New Roman" w:hint="eastAsia"/>
          <w:color w:val="000000"/>
        </w:rPr>
        <w:t>年本公司在厦门市同安区累计缴纳的税收总额不低于</w:t>
      </w:r>
      <w:r>
        <w:rPr>
          <w:rFonts w:ascii="Times New Roman" w:hAnsi="Times New Roman" w:cs="Times New Roman"/>
          <w:color w:val="000000"/>
        </w:rPr>
        <w:t>30,000</w:t>
      </w:r>
      <w:r>
        <w:rPr>
          <w:rFonts w:cs="Times New Roman" w:hint="eastAsia"/>
          <w:color w:val="000000"/>
        </w:rPr>
        <w:t>万元人民币，厦门市同安区政府将在</w:t>
      </w:r>
      <w:r>
        <w:rPr>
          <w:rFonts w:ascii="Times New Roman" w:hAnsi="Times New Roman" w:cs="Times New Roman"/>
          <w:color w:val="000000"/>
        </w:rPr>
        <w:t>2027</w:t>
      </w:r>
      <w:r>
        <w:rPr>
          <w:rFonts w:cs="Times New Roman" w:hint="eastAsia"/>
          <w:color w:val="000000"/>
        </w:rPr>
        <w:t>年的第一季度无息退还本公司已缴纳的违约金。</w:t>
      </w:r>
    </w:p>
    <w:p w:rsidR="000C39A3" w:rsidRDefault="000C39A3" w:rsidP="008071B9">
      <w:pPr>
        <w:pStyle w:val="a4"/>
        <w:spacing w:before="120" w:beforeAutospacing="0" w:after="0" w:afterAutospacing="0" w:line="360" w:lineRule="auto"/>
        <w:ind w:firstLine="482"/>
        <w:jc w:val="both"/>
        <w:divId w:val="1922063748"/>
        <w:rPr>
          <w:rFonts w:ascii="Times New Roman" w:hAnsi="Times New Roman" w:cs="Times New Roman"/>
          <w:sz w:val="21"/>
          <w:szCs w:val="21"/>
        </w:rPr>
      </w:pPr>
      <w:r>
        <w:rPr>
          <w:rFonts w:cs="Times New Roman" w:hint="eastAsia"/>
          <w:color w:val="000000"/>
        </w:rPr>
        <w:t>（</w:t>
      </w:r>
      <w:r>
        <w:rPr>
          <w:rFonts w:ascii="Times New Roman" w:hAnsi="Times New Roman" w:cs="Times New Roman"/>
          <w:color w:val="000000"/>
        </w:rPr>
        <w:t>2</w:t>
      </w:r>
      <w:r>
        <w:rPr>
          <w:rFonts w:cs="Times New Roman" w:hint="eastAsia"/>
          <w:color w:val="000000"/>
        </w:rPr>
        <w:t>）</w:t>
      </w:r>
      <w:r>
        <w:rPr>
          <w:rFonts w:ascii="Times New Roman" w:hAnsi="Times New Roman" w:cs="Times New Roman"/>
          <w:color w:val="000000"/>
        </w:rPr>
        <w:t>2027</w:t>
      </w:r>
      <w:r>
        <w:rPr>
          <w:rFonts w:cs="Times New Roman" w:hint="eastAsia"/>
          <w:color w:val="000000"/>
        </w:rPr>
        <w:t>年至</w:t>
      </w:r>
      <w:r>
        <w:rPr>
          <w:rFonts w:ascii="Times New Roman" w:hAnsi="Times New Roman" w:cs="Times New Roman"/>
          <w:color w:val="000000"/>
        </w:rPr>
        <w:t>2031</w:t>
      </w:r>
      <w:r>
        <w:rPr>
          <w:rFonts w:cs="Times New Roman" w:hint="eastAsia"/>
          <w:color w:val="000000"/>
        </w:rPr>
        <w:t>年在厦门市同安区纳税承诺</w:t>
      </w:r>
    </w:p>
    <w:p w:rsidR="000C39A3" w:rsidRDefault="000C39A3" w:rsidP="008071B9">
      <w:pPr>
        <w:pStyle w:val="a4"/>
        <w:spacing w:before="120" w:beforeAutospacing="0" w:after="0" w:afterAutospacing="0" w:line="360" w:lineRule="auto"/>
        <w:ind w:firstLine="482"/>
        <w:jc w:val="both"/>
        <w:divId w:val="1922063748"/>
        <w:rPr>
          <w:rFonts w:ascii="Times New Roman" w:hAnsi="Times New Roman" w:cs="Times New Roman"/>
          <w:sz w:val="21"/>
          <w:szCs w:val="21"/>
        </w:rPr>
      </w:pPr>
      <w:r>
        <w:rPr>
          <w:rFonts w:ascii="Times New Roman" w:hAnsi="Times New Roman" w:cs="Times New Roman"/>
          <w:color w:val="000000"/>
        </w:rPr>
        <w:t>2022</w:t>
      </w:r>
      <w:r>
        <w:rPr>
          <w:rFonts w:cs="Times New Roman" w:hint="eastAsia"/>
          <w:color w:val="000000"/>
        </w:rPr>
        <w:t>年</w:t>
      </w:r>
      <w:r>
        <w:rPr>
          <w:rFonts w:ascii="Times New Roman" w:hAnsi="Times New Roman" w:cs="Times New Roman"/>
          <w:color w:val="000000"/>
        </w:rPr>
        <w:t>4</w:t>
      </w:r>
      <w:r>
        <w:rPr>
          <w:rFonts w:cs="Times New Roman" w:hint="eastAsia"/>
          <w:color w:val="000000"/>
        </w:rPr>
        <w:t>月，本公司与厦门市自然资源和规划局签署《厦门市国有建设用地使用权出让合同》（合同编号：</w:t>
      </w:r>
      <w:r>
        <w:rPr>
          <w:rFonts w:ascii="Times New Roman" w:hAnsi="Times New Roman" w:cs="Times New Roman"/>
          <w:color w:val="000000"/>
        </w:rPr>
        <w:t>35021220220401CG013</w:t>
      </w:r>
      <w:r>
        <w:rPr>
          <w:rFonts w:cs="Times New Roman" w:hint="eastAsia"/>
          <w:color w:val="000000"/>
        </w:rPr>
        <w:t>），并与厦门市同安区人民政府签署《</w:t>
      </w:r>
      <w:r>
        <w:rPr>
          <w:rFonts w:ascii="Times New Roman" w:hAnsi="Times New Roman" w:cs="Times New Roman"/>
          <w:color w:val="000000"/>
        </w:rPr>
        <w:t>2021TG02-G</w:t>
      </w:r>
      <w:r>
        <w:rPr>
          <w:rFonts w:cs="Times New Roman" w:hint="eastAsia"/>
          <w:color w:val="000000"/>
        </w:rPr>
        <w:t>地块监管协议》（以下统称</w:t>
      </w:r>
      <w:r>
        <w:rPr>
          <w:rFonts w:ascii="Times New Roman" w:hAnsi="Times New Roman" w:cs="Times New Roman"/>
          <w:color w:val="000000"/>
        </w:rPr>
        <w:t>“</w:t>
      </w:r>
      <w:r>
        <w:rPr>
          <w:rFonts w:cs="Times New Roman" w:hint="eastAsia"/>
          <w:color w:val="000000"/>
        </w:rPr>
        <w:t>地块监管协议</w:t>
      </w:r>
      <w:r>
        <w:rPr>
          <w:rFonts w:ascii="Times New Roman" w:hAnsi="Times New Roman" w:cs="Times New Roman"/>
          <w:color w:val="000000"/>
        </w:rPr>
        <w:t>”</w:t>
      </w:r>
      <w:r>
        <w:rPr>
          <w:rFonts w:cs="Times New Roman" w:hint="eastAsia"/>
          <w:color w:val="000000"/>
        </w:rPr>
        <w:t>），取得位于同安区同翔高新城片区布塘中路与银鹭大道交叉口西南侧地块。根据地块监管协议，①投资强度要求约定如下：不低于人民币</w:t>
      </w:r>
      <w:r>
        <w:rPr>
          <w:rFonts w:ascii="Times New Roman" w:hAnsi="Times New Roman" w:cs="Times New Roman"/>
          <w:color w:val="000000"/>
        </w:rPr>
        <w:t>8528</w:t>
      </w:r>
      <w:r>
        <w:rPr>
          <w:rFonts w:cs="Times New Roman" w:hint="eastAsia"/>
          <w:color w:val="000000"/>
        </w:rPr>
        <w:t>万元／公顷（土地面积），固定资产投资不低于人民币</w:t>
      </w:r>
      <w:r>
        <w:rPr>
          <w:rFonts w:ascii="Times New Roman" w:hAnsi="Times New Roman" w:cs="Times New Roman"/>
          <w:color w:val="000000"/>
        </w:rPr>
        <w:t xml:space="preserve"> 98500</w:t>
      </w:r>
      <w:r>
        <w:rPr>
          <w:rFonts w:cs="Times New Roman" w:hint="eastAsia"/>
          <w:color w:val="000000"/>
        </w:rPr>
        <w:t>万元。本项目固定资产投资总额、投资强度未达到上述要求的，厦门市同安区人民政府应按照实际差额部分占约定资产投资额的比例，要求本公司支付相当于比例国有建设用地使用权出让价款的违约金，并可要求本公司继续履约。②税收要求约定如下：项目建成投产后第二年起，本公司在厦门市同安区连续五个完整会计年度（即从</w:t>
      </w:r>
      <w:r>
        <w:rPr>
          <w:rFonts w:ascii="Times New Roman" w:hAnsi="Times New Roman" w:cs="Times New Roman"/>
          <w:color w:val="000000"/>
        </w:rPr>
        <w:t xml:space="preserve"> 2027</w:t>
      </w:r>
      <w:r>
        <w:rPr>
          <w:rFonts w:cs="Times New Roman" w:hint="eastAsia"/>
          <w:color w:val="000000"/>
        </w:rPr>
        <w:t>年起至</w:t>
      </w:r>
      <w:r>
        <w:rPr>
          <w:rFonts w:ascii="Times New Roman" w:hAnsi="Times New Roman" w:cs="Times New Roman"/>
          <w:color w:val="000000"/>
        </w:rPr>
        <w:t xml:space="preserve"> 2031</w:t>
      </w:r>
      <w:r>
        <w:rPr>
          <w:rFonts w:cs="Times New Roman" w:hint="eastAsia"/>
          <w:color w:val="000000"/>
        </w:rPr>
        <w:t>年止）缴纳的地均税收每年度不低于人民币</w:t>
      </w:r>
      <w:r>
        <w:rPr>
          <w:rFonts w:ascii="Times New Roman" w:hAnsi="Times New Roman" w:cs="Times New Roman"/>
          <w:color w:val="000000"/>
        </w:rPr>
        <w:t>866</w:t>
      </w:r>
      <w:r>
        <w:rPr>
          <w:rFonts w:cs="Times New Roman" w:hint="eastAsia"/>
          <w:color w:val="000000"/>
        </w:rPr>
        <w:t>万元／公顷，即每年度缴纳的税收应不低于人民币</w:t>
      </w:r>
      <w:r>
        <w:rPr>
          <w:rFonts w:ascii="Times New Roman" w:hAnsi="Times New Roman" w:cs="Times New Roman"/>
          <w:color w:val="000000"/>
        </w:rPr>
        <w:t>1</w:t>
      </w:r>
      <w:r>
        <w:rPr>
          <w:rFonts w:cs="Times New Roman" w:hint="eastAsia"/>
          <w:color w:val="000000"/>
        </w:rPr>
        <w:t>亿元（不含关税和房地产相关税收，以税务部门出具的纳税证明为准，下同）。若未完成年度纳税额，本公司同意在下一个年度的第一个季度内向</w:t>
      </w:r>
      <w:r w:rsidR="006F5E8B">
        <w:rPr>
          <w:rFonts w:cs="Times New Roman" w:hint="eastAsia"/>
          <w:color w:val="000000"/>
        </w:rPr>
        <w:t>厦门市同安区人民政府</w:t>
      </w:r>
      <w:r>
        <w:rPr>
          <w:rFonts w:cs="Times New Roman" w:hint="eastAsia"/>
          <w:color w:val="000000"/>
        </w:rPr>
        <w:t>缴交实际纳税额与承诺纳税额差额部分等额的违约金。若</w:t>
      </w:r>
      <w:r>
        <w:rPr>
          <w:rFonts w:ascii="Times New Roman" w:hAnsi="Times New Roman" w:cs="Times New Roman"/>
          <w:color w:val="000000"/>
        </w:rPr>
        <w:t>2027</w:t>
      </w:r>
      <w:r>
        <w:rPr>
          <w:rFonts w:cs="Times New Roman" w:hint="eastAsia"/>
          <w:color w:val="000000"/>
        </w:rPr>
        <w:t>年起至</w:t>
      </w:r>
      <w:r>
        <w:rPr>
          <w:rFonts w:ascii="Times New Roman" w:hAnsi="Times New Roman" w:cs="Times New Roman"/>
          <w:color w:val="000000"/>
        </w:rPr>
        <w:t>2031</w:t>
      </w:r>
      <w:r>
        <w:rPr>
          <w:rFonts w:cs="Times New Roman" w:hint="eastAsia"/>
          <w:color w:val="000000"/>
        </w:rPr>
        <w:t>年止本公司在厦门市同安区累计缴纳的税收总额不低于人民币</w:t>
      </w:r>
      <w:r>
        <w:rPr>
          <w:rFonts w:ascii="Times New Roman" w:hAnsi="Times New Roman" w:cs="Times New Roman"/>
          <w:color w:val="000000"/>
        </w:rPr>
        <w:t>5</w:t>
      </w:r>
      <w:r>
        <w:rPr>
          <w:rFonts w:cs="Times New Roman" w:hint="eastAsia"/>
          <w:color w:val="000000"/>
        </w:rPr>
        <w:t>亿元，厦门市同安区人民政府将在</w:t>
      </w:r>
      <w:r>
        <w:rPr>
          <w:rFonts w:ascii="Times New Roman" w:hAnsi="Times New Roman" w:cs="Times New Roman"/>
          <w:color w:val="000000"/>
        </w:rPr>
        <w:t>2032</w:t>
      </w:r>
      <w:r>
        <w:rPr>
          <w:rFonts w:cs="Times New Roman" w:hint="eastAsia"/>
          <w:color w:val="000000"/>
        </w:rPr>
        <w:t>年的第一季度无息退还本公司缴纳的违约金。</w:t>
      </w:r>
    </w:p>
    <w:p w:rsidR="000C39A3" w:rsidRDefault="000C39A3" w:rsidP="008071B9">
      <w:pPr>
        <w:pStyle w:val="a4"/>
        <w:spacing w:before="120" w:beforeAutospacing="0" w:after="0" w:afterAutospacing="0" w:line="360" w:lineRule="auto"/>
        <w:ind w:firstLine="482"/>
        <w:jc w:val="both"/>
        <w:divId w:val="1922063748"/>
        <w:rPr>
          <w:rFonts w:ascii="Times New Roman" w:hAnsi="Times New Roman" w:cs="Times New Roman"/>
          <w:sz w:val="21"/>
          <w:szCs w:val="21"/>
        </w:rPr>
      </w:pPr>
      <w:r>
        <w:rPr>
          <w:rFonts w:cs="Times New Roman" w:hint="eastAsia"/>
          <w:color w:val="000000"/>
        </w:rPr>
        <w:t>（</w:t>
      </w:r>
      <w:r>
        <w:rPr>
          <w:rFonts w:ascii="Times New Roman" w:hAnsi="Times New Roman" w:cs="Times New Roman"/>
          <w:color w:val="000000"/>
        </w:rPr>
        <w:t>3</w:t>
      </w:r>
      <w:r>
        <w:rPr>
          <w:rFonts w:cs="Times New Roman" w:hint="eastAsia"/>
          <w:color w:val="000000"/>
        </w:rPr>
        <w:t>）截至</w:t>
      </w:r>
      <w:r>
        <w:rPr>
          <w:rFonts w:ascii="Times New Roman" w:hAnsi="Times New Roman" w:cs="Times New Roman"/>
          <w:color w:val="000000"/>
        </w:rPr>
        <w:t>2022</w:t>
      </w:r>
      <w:r>
        <w:rPr>
          <w:rFonts w:cs="Times New Roman" w:hint="eastAsia"/>
          <w:color w:val="000000"/>
        </w:rPr>
        <w:t>年</w:t>
      </w:r>
      <w:r>
        <w:rPr>
          <w:rFonts w:ascii="Times New Roman" w:hAnsi="Times New Roman" w:cs="Times New Roman"/>
          <w:color w:val="000000"/>
        </w:rPr>
        <w:t>12</w:t>
      </w:r>
      <w:r>
        <w:rPr>
          <w:rFonts w:cs="Times New Roman" w:hint="eastAsia"/>
          <w:color w:val="000000"/>
        </w:rPr>
        <w:t>月</w:t>
      </w:r>
      <w:r>
        <w:rPr>
          <w:rFonts w:ascii="Times New Roman" w:hAnsi="Times New Roman" w:cs="Times New Roman"/>
          <w:color w:val="000000"/>
        </w:rPr>
        <w:t>31</w:t>
      </w:r>
      <w:r>
        <w:rPr>
          <w:rFonts w:cs="Times New Roman" w:hint="eastAsia"/>
          <w:color w:val="000000"/>
        </w:rPr>
        <w:t>日，本公司不存在其他应披露的重要承诺事项。</w:t>
      </w:r>
    </w:p>
    <w:p w:rsidR="0080594E" w:rsidRDefault="000C39A3">
      <w:pPr>
        <w:pStyle w:val="3"/>
        <w:spacing w:line="280" w:lineRule="exact"/>
        <w:jc w:val="left"/>
        <w:rPr>
          <w:rFonts w:ascii="宋体" w:hAnsi="宋体" w:cs="宋体"/>
          <w:b/>
          <w:bCs/>
        </w:rPr>
      </w:pPr>
      <w:bookmarkStart w:id="335" w:name="_Toc989225"/>
      <w:r>
        <w:rPr>
          <w:rFonts w:ascii="宋体" w:hAnsi="宋体" w:cs="宋体"/>
          <w:b/>
          <w:bCs/>
        </w:rPr>
        <w:t>2、或有事项</w:t>
      </w:r>
      <w:bookmarkEnd w:id="335"/>
    </w:p>
    <w:p w:rsidR="0080594E" w:rsidRDefault="000C39A3">
      <w:pPr>
        <w:keepNext/>
        <w:keepLines/>
        <w:spacing w:before="300" w:after="300" w:line="280" w:lineRule="exact"/>
        <w:outlineLvl w:val="3"/>
        <w:rPr>
          <w:rFonts w:ascii="宋体" w:eastAsia="宋体" w:hAnsi="宋体" w:cs="宋体"/>
          <w:b/>
          <w:bCs/>
          <w:szCs w:val="21"/>
        </w:rPr>
      </w:pPr>
      <w:bookmarkStart w:id="336" w:name="_Toc989226"/>
      <w:r>
        <w:rPr>
          <w:rFonts w:ascii="宋体" w:eastAsia="宋体" w:hAnsi="宋体" w:cs="宋体"/>
          <w:b/>
          <w:bCs/>
          <w:szCs w:val="21"/>
        </w:rPr>
        <w:t>（1） 资产负债表日存在的重要或有事项</w:t>
      </w:r>
      <w:bookmarkEnd w:id="336"/>
    </w:p>
    <w:p w:rsidR="000C39A3" w:rsidRDefault="000C39A3">
      <w:pPr>
        <w:pStyle w:val="a4"/>
        <w:spacing w:before="120" w:beforeAutospacing="0" w:after="120" w:afterAutospacing="0" w:line="360" w:lineRule="auto"/>
        <w:ind w:firstLine="480"/>
        <w:jc w:val="both"/>
        <w:divId w:val="671832914"/>
        <w:rPr>
          <w:rFonts w:ascii="Times New Roman" w:hAnsi="Times New Roman" w:cs="Times New Roman"/>
          <w:sz w:val="21"/>
          <w:szCs w:val="21"/>
        </w:rPr>
      </w:pPr>
      <w:r>
        <w:rPr>
          <w:rFonts w:cs="Times New Roman" w:hint="eastAsia"/>
        </w:rPr>
        <w:t>截至</w:t>
      </w:r>
      <w:r>
        <w:rPr>
          <w:rFonts w:ascii="Times New Roman" w:hAnsi="Times New Roman" w:cs="Times New Roman"/>
        </w:rPr>
        <w:t>2022</w:t>
      </w:r>
      <w:r>
        <w:rPr>
          <w:rFonts w:cs="Times New Roman" w:hint="eastAsia"/>
        </w:rPr>
        <w:t>年</w:t>
      </w:r>
      <w:r>
        <w:rPr>
          <w:rFonts w:ascii="Times New Roman" w:hAnsi="Times New Roman" w:cs="Times New Roman"/>
        </w:rPr>
        <w:t>12</w:t>
      </w:r>
      <w:r>
        <w:rPr>
          <w:rFonts w:cs="Times New Roman" w:hint="eastAsia"/>
        </w:rPr>
        <w:t>月</w:t>
      </w:r>
      <w:r>
        <w:rPr>
          <w:rFonts w:ascii="Times New Roman" w:hAnsi="Times New Roman" w:cs="Times New Roman"/>
        </w:rPr>
        <w:t>31</w:t>
      </w:r>
      <w:r>
        <w:rPr>
          <w:rFonts w:cs="Times New Roman" w:hint="eastAsia"/>
        </w:rPr>
        <w:t>日，本公司无需要披露的其他重大或有事项。</w:t>
      </w:r>
    </w:p>
    <w:p w:rsidR="0080594E" w:rsidRDefault="000C39A3">
      <w:pPr>
        <w:keepNext/>
        <w:keepLines/>
        <w:spacing w:before="300" w:after="300" w:line="280" w:lineRule="exact"/>
        <w:outlineLvl w:val="3"/>
        <w:rPr>
          <w:rFonts w:ascii="宋体" w:eastAsia="宋体" w:hAnsi="宋体" w:cs="宋体"/>
          <w:b/>
          <w:bCs/>
          <w:szCs w:val="21"/>
        </w:rPr>
      </w:pPr>
      <w:bookmarkStart w:id="337" w:name="_Toc989227"/>
      <w:r>
        <w:rPr>
          <w:rFonts w:ascii="宋体" w:eastAsia="宋体" w:hAnsi="宋体" w:cs="宋体"/>
          <w:b/>
          <w:bCs/>
          <w:szCs w:val="21"/>
        </w:rPr>
        <w:t>（2） 公司没有需要披露的重要或有事项，也应予以说明</w:t>
      </w:r>
      <w:bookmarkEnd w:id="337"/>
    </w:p>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公司不存在需要披露的重要或有事项。</w:t>
      </w:r>
    </w:p>
    <w:p w:rsidR="0080594E" w:rsidRDefault="000C39A3">
      <w:pPr>
        <w:pStyle w:val="2"/>
        <w:spacing w:before="300" w:after="300" w:line="320" w:lineRule="exact"/>
        <w:rPr>
          <w:rFonts w:ascii="宋体" w:eastAsia="宋体" w:hAnsi="宋体" w:cs="宋体"/>
          <w:b/>
          <w:bCs/>
          <w:sz w:val="24"/>
          <w:szCs w:val="24"/>
        </w:rPr>
      </w:pPr>
      <w:bookmarkStart w:id="338" w:name="_Toc989228"/>
      <w:r>
        <w:rPr>
          <w:rFonts w:ascii="宋体" w:eastAsia="宋体" w:hAnsi="宋体" w:cs="宋体"/>
          <w:b/>
          <w:bCs/>
          <w:sz w:val="24"/>
          <w:szCs w:val="24"/>
        </w:rPr>
        <w:lastRenderedPageBreak/>
        <w:t>十三、资产负债表日后事项</w:t>
      </w:r>
      <w:bookmarkEnd w:id="338"/>
    </w:p>
    <w:p w:rsidR="0080594E" w:rsidRDefault="000C39A3">
      <w:pPr>
        <w:pStyle w:val="3"/>
        <w:spacing w:line="280" w:lineRule="exact"/>
        <w:jc w:val="left"/>
        <w:rPr>
          <w:rFonts w:ascii="宋体" w:hAnsi="宋体" w:cs="宋体"/>
          <w:b/>
          <w:bCs/>
        </w:rPr>
      </w:pPr>
      <w:bookmarkStart w:id="339" w:name="_Toc989229"/>
      <w:r>
        <w:rPr>
          <w:rFonts w:ascii="宋体" w:hAnsi="宋体" w:cs="宋体"/>
          <w:b/>
          <w:bCs/>
        </w:rPr>
        <w:t>1、利润分配情况</w:t>
      </w:r>
      <w:bookmarkEnd w:id="339"/>
    </w:p>
    <w:p w:rsidR="0080594E" w:rsidRDefault="000C39A3">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拟分配的利润或股利</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56,836,800.00</w:t>
            </w:r>
          </w:p>
        </w:tc>
      </w:tr>
      <w:tr w:rsidR="0080594E">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利润分配方案</w:t>
            </w:r>
          </w:p>
        </w:tc>
        <w:tc>
          <w:tcPr>
            <w:tcW w:w="482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rPr>
                <w:rFonts w:ascii="宋体" w:eastAsia="宋体" w:hAnsi="宋体" w:cs="宋体"/>
                <w:sz w:val="18"/>
                <w:szCs w:val="18"/>
              </w:rPr>
            </w:pPr>
            <w:r>
              <w:rPr>
                <w:rFonts w:ascii="宋体" w:eastAsia="宋体" w:hAnsi="宋体" w:cs="宋体"/>
                <w:sz w:val="18"/>
                <w:szCs w:val="18"/>
              </w:rPr>
              <w:t>2023年4月21日，公司第三届董事会第四次会议审议通过公司2022年度利润分配预案，以2022年12月31日公司总股本378,912,000股为基数，向全体股东每10股派发现金股利人民币1.50元（含税），合计派发现金红利人民币56,836,800.00元（含税）</w:t>
            </w:r>
            <w:r w:rsidR="006F5E8B">
              <w:rPr>
                <w:rFonts w:ascii="宋体" w:eastAsia="宋体" w:hAnsi="宋体" w:cs="宋体"/>
                <w:sz w:val="18"/>
                <w:szCs w:val="18"/>
              </w:rPr>
              <w:t>，</w:t>
            </w:r>
            <w:r w:rsidR="006F5E8B" w:rsidRPr="008071B9">
              <w:rPr>
                <w:rFonts w:ascii="宋体" w:eastAsia="宋体" w:hAnsi="宋体" w:cs="宋体" w:hint="eastAsia"/>
                <w:sz w:val="18"/>
                <w:szCs w:val="18"/>
              </w:rPr>
              <w:t>不进行资本公积转增股本，不送红股，剩余未分配利润结转以后年度分配。</w:t>
            </w:r>
            <w:r>
              <w:rPr>
                <w:rFonts w:ascii="宋体" w:eastAsia="宋体" w:hAnsi="宋体" w:cs="宋体"/>
                <w:sz w:val="18"/>
                <w:szCs w:val="18"/>
              </w:rPr>
              <w:t>本次利润分配预案尚需提交股东大会审议。</w:t>
            </w:r>
          </w:p>
        </w:tc>
      </w:tr>
    </w:tbl>
    <w:p w:rsidR="0080594E" w:rsidRDefault="000C39A3">
      <w:pPr>
        <w:pStyle w:val="3"/>
        <w:spacing w:line="280" w:lineRule="exact"/>
        <w:jc w:val="left"/>
        <w:rPr>
          <w:rFonts w:ascii="宋体" w:hAnsi="宋体" w:cs="宋体"/>
          <w:b/>
          <w:bCs/>
        </w:rPr>
      </w:pPr>
      <w:bookmarkStart w:id="340" w:name="_Toc989230"/>
      <w:r>
        <w:rPr>
          <w:rFonts w:ascii="宋体" w:hAnsi="宋体" w:cs="宋体"/>
          <w:b/>
          <w:bCs/>
        </w:rPr>
        <w:t>2、其他资产负债表日后事项说明</w:t>
      </w:r>
      <w:bookmarkEnd w:id="340"/>
    </w:p>
    <w:p w:rsidR="000C39A3" w:rsidRDefault="000C39A3">
      <w:pPr>
        <w:pStyle w:val="a4"/>
        <w:spacing w:before="120" w:beforeAutospacing="0" w:after="0" w:afterAutospacing="0" w:line="360" w:lineRule="auto"/>
        <w:ind w:firstLine="480"/>
        <w:jc w:val="both"/>
        <w:divId w:val="1911229009"/>
        <w:rPr>
          <w:rFonts w:ascii="Times New Roman" w:hAnsi="Times New Roman" w:cs="Times New Roman"/>
          <w:sz w:val="21"/>
          <w:szCs w:val="21"/>
        </w:rPr>
      </w:pPr>
      <w:r>
        <w:rPr>
          <w:rFonts w:cs="Times New Roman" w:hint="eastAsia"/>
        </w:rPr>
        <w:t>截至本财务报告日，本公司不存在其他应披露的资产负债表日后事项。</w:t>
      </w:r>
    </w:p>
    <w:p w:rsidR="0080594E" w:rsidRDefault="000C39A3">
      <w:pPr>
        <w:pStyle w:val="2"/>
        <w:spacing w:before="300" w:after="300" w:line="320" w:lineRule="exact"/>
        <w:rPr>
          <w:rFonts w:ascii="宋体" w:eastAsia="宋体" w:hAnsi="宋体" w:cs="宋体"/>
          <w:b/>
          <w:bCs/>
          <w:sz w:val="24"/>
          <w:szCs w:val="24"/>
        </w:rPr>
      </w:pPr>
      <w:bookmarkStart w:id="341" w:name="_Toc989231"/>
      <w:r>
        <w:rPr>
          <w:rFonts w:ascii="宋体" w:eastAsia="宋体" w:hAnsi="宋体" w:cs="宋体"/>
          <w:b/>
          <w:bCs/>
          <w:sz w:val="24"/>
          <w:szCs w:val="24"/>
        </w:rPr>
        <w:t>十四、其他重要事项</w:t>
      </w:r>
      <w:bookmarkEnd w:id="341"/>
    </w:p>
    <w:p w:rsidR="0080594E" w:rsidRDefault="000C39A3">
      <w:pPr>
        <w:pStyle w:val="3"/>
        <w:spacing w:line="280" w:lineRule="exact"/>
        <w:jc w:val="left"/>
        <w:rPr>
          <w:rFonts w:ascii="宋体" w:hAnsi="宋体" w:cs="宋体"/>
          <w:b/>
          <w:bCs/>
        </w:rPr>
      </w:pPr>
      <w:bookmarkStart w:id="342" w:name="_Toc989232"/>
      <w:r>
        <w:rPr>
          <w:rFonts w:ascii="宋体" w:hAnsi="宋体" w:cs="宋体"/>
          <w:b/>
          <w:bCs/>
        </w:rPr>
        <w:t>1、分部信息</w:t>
      </w:r>
      <w:bookmarkEnd w:id="342"/>
    </w:p>
    <w:p w:rsidR="0080594E" w:rsidRDefault="000C39A3">
      <w:pPr>
        <w:keepNext/>
        <w:keepLines/>
        <w:spacing w:before="300" w:after="300" w:line="280" w:lineRule="exact"/>
        <w:outlineLvl w:val="3"/>
        <w:rPr>
          <w:rFonts w:ascii="宋体" w:eastAsia="宋体" w:hAnsi="宋体" w:cs="宋体"/>
          <w:b/>
          <w:bCs/>
          <w:szCs w:val="21"/>
        </w:rPr>
      </w:pPr>
      <w:bookmarkStart w:id="343" w:name="_Toc989233"/>
      <w:r>
        <w:rPr>
          <w:rFonts w:ascii="宋体" w:eastAsia="宋体" w:hAnsi="宋体" w:cs="宋体"/>
          <w:b/>
          <w:bCs/>
          <w:szCs w:val="21"/>
        </w:rPr>
        <w:t>（1） 公司无报告分部的，或者不能披露各报告分部的资产总额和负债总额的，应说明原因。</w:t>
      </w:r>
      <w:bookmarkEnd w:id="343"/>
    </w:p>
    <w:p w:rsidR="000C39A3" w:rsidRPr="008071B9" w:rsidRDefault="000C39A3" w:rsidP="008071B9">
      <w:pPr>
        <w:pStyle w:val="a4"/>
        <w:spacing w:line="360" w:lineRule="auto"/>
        <w:ind w:firstLineChars="200" w:firstLine="480"/>
        <w:divId w:val="1375739391"/>
      </w:pPr>
      <w:r w:rsidRPr="001812A1">
        <w:rPr>
          <w:rFonts w:hint="eastAsia"/>
        </w:rPr>
        <w:t>根据本公司的内部组织结构、管理要求及内部报告制度，本公司主要从事各种空压机、空气干燥机、储气罐等的设计、研发、生产和销售，销售区域涉及境内和境外。这些经营业务以公司日常内部管理要求的财务信息为基础确定的。本公司的管理层定期评价不同型号产品和区域的经营成果，以决定向其分配资源及评价其业绩。</w:t>
      </w:r>
    </w:p>
    <w:p w:rsidR="000C39A3" w:rsidRDefault="000C39A3" w:rsidP="008071B9">
      <w:pPr>
        <w:pStyle w:val="a4"/>
        <w:spacing w:line="360" w:lineRule="auto"/>
        <w:ind w:firstLineChars="200" w:firstLine="480"/>
        <w:divId w:val="1375739391"/>
        <w:rPr>
          <w:sz w:val="18"/>
          <w:szCs w:val="18"/>
        </w:rPr>
      </w:pPr>
      <w:r>
        <w:rPr>
          <w:rFonts w:hint="eastAsia"/>
        </w:rPr>
        <w:t>由于本公司主要于一个地域内经营业务，收入主要来自中国境内。本公司主要资产亦位于中国境内，本公司不同型号产品和区域的经营由本公司管理层统一管理和调配，并通过各部门人员予以具体执行，本公司业务和产品不存在跨行业、跨区域经营情况，存在一定同质性，且基于管理团队的统一性，本公司无需披露分部数据。</w:t>
      </w:r>
    </w:p>
    <w:p w:rsidR="0080594E" w:rsidRDefault="000C39A3">
      <w:pPr>
        <w:pStyle w:val="3"/>
        <w:spacing w:line="280" w:lineRule="exact"/>
        <w:jc w:val="left"/>
        <w:rPr>
          <w:rFonts w:ascii="宋体" w:hAnsi="宋体" w:cs="宋体"/>
          <w:b/>
          <w:bCs/>
        </w:rPr>
      </w:pPr>
      <w:bookmarkStart w:id="344" w:name="_Toc989234"/>
      <w:r>
        <w:rPr>
          <w:rFonts w:ascii="宋体" w:hAnsi="宋体" w:cs="宋体"/>
          <w:b/>
          <w:bCs/>
        </w:rPr>
        <w:t>2、其他</w:t>
      </w:r>
      <w:bookmarkEnd w:id="344"/>
    </w:p>
    <w:p w:rsidR="000C39A3" w:rsidRDefault="000C39A3">
      <w:pPr>
        <w:pStyle w:val="a4"/>
        <w:spacing w:before="120" w:beforeAutospacing="0" w:after="0" w:afterAutospacing="0" w:line="360" w:lineRule="auto"/>
        <w:ind w:firstLine="480"/>
        <w:jc w:val="both"/>
        <w:divId w:val="1579050808"/>
        <w:rPr>
          <w:rFonts w:ascii="Times New Roman" w:hAnsi="Times New Roman" w:cs="Times New Roman"/>
          <w:sz w:val="21"/>
          <w:szCs w:val="21"/>
        </w:rPr>
      </w:pPr>
      <w:r>
        <w:rPr>
          <w:rFonts w:cs="Times New Roman" w:hint="eastAsia"/>
        </w:rPr>
        <w:t>除上述事项外，本公司截至</w:t>
      </w:r>
      <w:r>
        <w:rPr>
          <w:rFonts w:ascii="Times New Roman" w:hAnsi="Times New Roman" w:cs="Times New Roman"/>
        </w:rPr>
        <w:t>2022</w:t>
      </w:r>
      <w:r>
        <w:rPr>
          <w:rFonts w:cs="Times New Roman" w:hint="eastAsia"/>
        </w:rPr>
        <w:t>年</w:t>
      </w:r>
      <w:r>
        <w:rPr>
          <w:rFonts w:ascii="Times New Roman" w:hAnsi="Times New Roman" w:cs="Times New Roman"/>
        </w:rPr>
        <w:t>12</w:t>
      </w:r>
      <w:r>
        <w:rPr>
          <w:rFonts w:cs="Times New Roman" w:hint="eastAsia"/>
        </w:rPr>
        <w:t>月</w:t>
      </w:r>
      <w:r>
        <w:rPr>
          <w:rFonts w:ascii="Times New Roman" w:hAnsi="Times New Roman" w:cs="Times New Roman"/>
        </w:rPr>
        <w:t>31</w:t>
      </w:r>
      <w:r>
        <w:rPr>
          <w:rFonts w:cs="Times New Roman" w:hint="eastAsia"/>
        </w:rPr>
        <w:t>日，不存在其他应披露未披露的重要事项。</w:t>
      </w:r>
    </w:p>
    <w:p w:rsidR="0080594E" w:rsidRDefault="000C39A3">
      <w:pPr>
        <w:pStyle w:val="2"/>
        <w:spacing w:before="300" w:after="300" w:line="320" w:lineRule="exact"/>
        <w:rPr>
          <w:rFonts w:ascii="宋体" w:eastAsia="宋体" w:hAnsi="宋体" w:cs="宋体"/>
          <w:b/>
          <w:bCs/>
          <w:sz w:val="24"/>
          <w:szCs w:val="24"/>
        </w:rPr>
      </w:pPr>
      <w:bookmarkStart w:id="345" w:name="_Toc989235"/>
      <w:r>
        <w:rPr>
          <w:rFonts w:ascii="宋体" w:eastAsia="宋体" w:hAnsi="宋体" w:cs="宋体"/>
          <w:b/>
          <w:bCs/>
          <w:sz w:val="24"/>
          <w:szCs w:val="24"/>
        </w:rPr>
        <w:lastRenderedPageBreak/>
        <w:t>十五、补充资料</w:t>
      </w:r>
      <w:bookmarkEnd w:id="345"/>
    </w:p>
    <w:p w:rsidR="0080594E" w:rsidRDefault="000C39A3">
      <w:pPr>
        <w:pStyle w:val="3"/>
        <w:spacing w:line="280" w:lineRule="exact"/>
        <w:jc w:val="left"/>
        <w:rPr>
          <w:rFonts w:ascii="宋体" w:hAnsi="宋体" w:cs="宋体"/>
          <w:b/>
          <w:bCs/>
        </w:rPr>
      </w:pPr>
      <w:bookmarkStart w:id="346" w:name="_Toc989236"/>
      <w:r>
        <w:rPr>
          <w:rFonts w:ascii="宋体" w:hAnsi="宋体" w:cs="宋体"/>
          <w:b/>
          <w:bCs/>
        </w:rPr>
        <w:t>1、当期非经常性损益明细表</w:t>
      </w:r>
      <w:bookmarkEnd w:id="346"/>
    </w:p>
    <w:p w:rsidR="0080594E" w:rsidRDefault="000C39A3">
      <w:pPr>
        <w:spacing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0594E" w:rsidRDefault="000C39A3">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说明</w:t>
            </w: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非流动资产处置损益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-1,200.93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计入当期损益的政府补助（与公司正常经营业务密切相关，符合国家政策规定、按照一定标准定额或定量持续享受的政府补助除外）</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15,417,004.02</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委托他人投资或管理资产的损益</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11,713,793.46</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除上述各项之外的其他营业外收入和支出</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-735,425.23</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减：所得税影响额</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3,959,125.70</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80594E">
            <w:pPr>
              <w:spacing w:line="240" w:lineRule="exact"/>
              <w:rPr>
                <w:rFonts w:ascii="宋体" w:eastAsia="宋体" w:hAnsi="宋体" w:cs="宋体"/>
                <w:sz w:val="18"/>
                <w:szCs w:val="18"/>
              </w:rPr>
            </w:pPr>
          </w:p>
        </w:tc>
      </w:tr>
      <w:tr w:rsidR="0080594E">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22,435,045.62</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其他符合非经常性损益定义的损益项目的具体情况：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公司不存在其他符合非经常性损益定义的损益项目的具体情况。</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rsidR="0080594E" w:rsidRDefault="000C39A3">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0594E" w:rsidRDefault="000C39A3">
      <w:pPr>
        <w:pStyle w:val="3"/>
        <w:spacing w:line="280" w:lineRule="exact"/>
        <w:jc w:val="left"/>
        <w:rPr>
          <w:rFonts w:ascii="宋体" w:hAnsi="宋体" w:cs="宋体"/>
          <w:b/>
          <w:bCs/>
        </w:rPr>
      </w:pPr>
      <w:bookmarkStart w:id="347" w:name="_Toc989237"/>
      <w:r>
        <w:rPr>
          <w:rFonts w:ascii="宋体" w:hAnsi="宋体" w:cs="宋体"/>
          <w:b/>
          <w:bCs/>
        </w:rPr>
        <w:t>2、净资产收益率及每股收益</w:t>
      </w:r>
      <w:bookmarkEnd w:id="347"/>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80594E">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报告期利润</w:t>
            </w:r>
          </w:p>
        </w:tc>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加权平均净资产收益率</w:t>
            </w:r>
          </w:p>
        </w:tc>
        <w:tc>
          <w:tcPr>
            <w:tcW w:w="482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每股收益</w:t>
            </w:r>
          </w:p>
        </w:tc>
      </w:tr>
      <w:tr w:rsidR="0080594E">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80594E"/>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基本每股收益（元/股）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jc w:val="center"/>
              <w:rPr>
                <w:rFonts w:ascii="宋体" w:eastAsia="宋体" w:hAnsi="宋体" w:cs="宋体"/>
                <w:sz w:val="18"/>
                <w:szCs w:val="18"/>
              </w:rPr>
            </w:pPr>
            <w:r>
              <w:rPr>
                <w:rFonts w:ascii="宋体" w:eastAsia="宋体" w:hAnsi="宋体" w:cs="宋体"/>
                <w:sz w:val="18"/>
                <w:szCs w:val="18"/>
              </w:rPr>
              <w:t>稀释每股收益（元/股）</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归属于公司普通股股东的净利润</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14.09%</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0.42</w:t>
            </w:r>
          </w:p>
        </w:tc>
      </w:tr>
      <w:tr w:rsidR="0080594E">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80594E" w:rsidRDefault="000C39A3">
            <w:pPr>
              <w:spacing w:before="40" w:after="40" w:line="240" w:lineRule="exact"/>
              <w:rPr>
                <w:rFonts w:ascii="宋体" w:eastAsia="宋体" w:hAnsi="宋体" w:cs="宋体"/>
                <w:sz w:val="18"/>
                <w:szCs w:val="18"/>
              </w:rPr>
            </w:pPr>
            <w:r>
              <w:rPr>
                <w:rFonts w:ascii="宋体" w:eastAsia="宋体" w:hAnsi="宋体" w:cs="宋体"/>
                <w:sz w:val="18"/>
                <w:szCs w:val="18"/>
              </w:rPr>
              <w:t>扣除非经常性损益后归属于公司普通股股东的净利润</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12.11%</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0.36</w:t>
            </w:r>
          </w:p>
        </w:tc>
        <w:tc>
          <w:tcPr>
            <w:tcW w:w="2410" w:type="dxa"/>
            <w:tcBorders>
              <w:top w:val="single" w:sz="2" w:space="0" w:color="auto"/>
              <w:left w:val="single" w:sz="2" w:space="0" w:color="auto"/>
              <w:bottom w:val="single" w:sz="2" w:space="0" w:color="auto"/>
              <w:right w:val="single" w:sz="2" w:space="0" w:color="auto"/>
            </w:tcBorders>
            <w:vAlign w:val="center"/>
          </w:tcPr>
          <w:p w:rsidR="0080594E" w:rsidRDefault="000C39A3">
            <w:pPr>
              <w:spacing w:line="240" w:lineRule="exact"/>
              <w:jc w:val="right"/>
              <w:rPr>
                <w:rFonts w:ascii="宋体" w:eastAsia="宋体" w:hAnsi="宋体" w:cs="宋体"/>
                <w:sz w:val="18"/>
                <w:szCs w:val="18"/>
              </w:rPr>
            </w:pPr>
            <w:r>
              <w:rPr>
                <w:rFonts w:ascii="宋体" w:eastAsia="宋体" w:hAnsi="宋体" w:cs="宋体"/>
                <w:sz w:val="18"/>
                <w:szCs w:val="18"/>
              </w:rPr>
              <w:t>0.36</w:t>
            </w:r>
          </w:p>
        </w:tc>
      </w:tr>
    </w:tbl>
    <w:p w:rsidR="0080594E" w:rsidRDefault="0080594E">
      <w:pPr>
        <w:spacing w:line="0" w:lineRule="atLeast"/>
      </w:pPr>
    </w:p>
    <w:p w:rsidR="009B2BAB" w:rsidRDefault="009B2BAB" w:rsidP="009B2BAB">
      <w:pPr>
        <w:spacing w:line="360" w:lineRule="auto"/>
        <w:ind w:firstLineChars="3000" w:firstLine="6300"/>
      </w:pPr>
    </w:p>
    <w:p w:rsidR="009B2BAB" w:rsidRDefault="009B2BAB" w:rsidP="009B2BAB">
      <w:pPr>
        <w:spacing w:line="360" w:lineRule="auto"/>
        <w:ind w:firstLineChars="3000" w:firstLine="6300"/>
      </w:pPr>
      <w:r>
        <w:tab/>
        <w:t xml:space="preserve">  </w:t>
      </w:r>
    </w:p>
    <w:p w:rsidR="009B2BAB" w:rsidRDefault="009B2BAB" w:rsidP="009B2BAB">
      <w:pPr>
        <w:spacing w:line="360" w:lineRule="auto"/>
        <w:ind w:firstLineChars="2400" w:firstLine="5760"/>
        <w:rPr>
          <w:sz w:val="24"/>
          <w:szCs w:val="24"/>
        </w:rPr>
      </w:pPr>
      <w:r>
        <w:rPr>
          <w:rFonts w:hint="eastAsia"/>
          <w:sz w:val="24"/>
          <w:szCs w:val="24"/>
        </w:rPr>
        <w:t>厦门东亚机械工业股份有限公司</w:t>
      </w:r>
      <w:r>
        <w:rPr>
          <w:sz w:val="24"/>
          <w:szCs w:val="24"/>
        </w:rPr>
        <w:t xml:space="preserve">                                                         </w:t>
      </w:r>
    </w:p>
    <w:p w:rsidR="009B2BAB" w:rsidRDefault="009B2BAB" w:rsidP="009B2BAB">
      <w:pPr>
        <w:spacing w:line="360" w:lineRule="auto"/>
        <w:ind w:firstLineChars="2700" w:firstLine="6480"/>
        <w:rPr>
          <w:sz w:val="24"/>
          <w:szCs w:val="24"/>
        </w:rPr>
      </w:pPr>
      <w:r>
        <w:rPr>
          <w:rFonts w:hint="eastAsia"/>
          <w:sz w:val="24"/>
          <w:szCs w:val="24"/>
        </w:rPr>
        <w:t>法定代表人：韩萤焕</w:t>
      </w:r>
    </w:p>
    <w:p w:rsidR="009B2BAB" w:rsidRDefault="009B2BAB" w:rsidP="009B2BAB">
      <w:pPr>
        <w:spacing w:line="360" w:lineRule="auto"/>
        <w:ind w:right="480"/>
        <w:jc w:val="right"/>
        <w:rPr>
          <w:sz w:val="24"/>
          <w:szCs w:val="24"/>
        </w:rPr>
      </w:pPr>
      <w:r>
        <w:rPr>
          <w:rFonts w:hint="eastAsia"/>
          <w:sz w:val="24"/>
          <w:szCs w:val="24"/>
        </w:rPr>
        <w:t>二〇二三年四月二十五日</w:t>
      </w:r>
    </w:p>
    <w:p w:rsidR="009B2BAB" w:rsidRPr="009B2BAB" w:rsidRDefault="009B2BAB">
      <w:pPr>
        <w:spacing w:line="0" w:lineRule="atLeast"/>
      </w:pPr>
    </w:p>
    <w:sectPr w:rsidR="009B2BAB" w:rsidRPr="009B2BAB">
      <w:headerReference w:type="default" r:id="rId47"/>
      <w:footerReference w:type="default" r:id="rId48"/>
      <w:pgSz w:w="11905" w:h="16840"/>
      <w:pgMar w:top="1440" w:right="1134" w:bottom="1440" w:left="1134" w:header="850"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FF4" w:rsidRDefault="00650FF4">
      <w:r>
        <w:separator/>
      </w:r>
    </w:p>
  </w:endnote>
  <w:endnote w:type="continuationSeparator" w:id="0">
    <w:p w:rsidR="00650FF4" w:rsidRDefault="0065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405" w:rsidRDefault="009E2405">
    <w:pPr>
      <w:pStyle w:val="fotter1"/>
    </w:pPr>
    <w:r>
      <w:fldChar w:fldCharType="begin"/>
    </w:r>
    <w:r>
      <w:instrText>PAGE   \* MERGEFORMAT</w:instrText>
    </w:r>
    <w:r>
      <w:fldChar w:fldCharType="separate"/>
    </w:r>
    <w:r w:rsidR="00A411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FF4" w:rsidRDefault="00650FF4">
      <w:r>
        <w:separator/>
      </w:r>
    </w:p>
  </w:footnote>
  <w:footnote w:type="continuationSeparator" w:id="0">
    <w:p w:rsidR="00650FF4" w:rsidRDefault="00650F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405" w:rsidRDefault="009E2405">
    <w:pPr>
      <w:pStyle w:val="Header1"/>
      <w:pBdr>
        <w:bottom w:val="single" w:sz="6" w:space="1" w:color="auto"/>
      </w:pBdr>
    </w:pPr>
    <w:r>
      <w:t>厦门东亚机械工业股份有限公司2022年年度报告全文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0439F"/>
    <w:multiLevelType w:val="multilevel"/>
    <w:tmpl w:val="F5824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9B6E1B"/>
    <w:multiLevelType w:val="multilevel"/>
    <w:tmpl w:val="B39C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5561F"/>
    <w:multiLevelType w:val="multilevel"/>
    <w:tmpl w:val="3606F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7F03DA"/>
    <w:multiLevelType w:val="multilevel"/>
    <w:tmpl w:val="DCBEE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940A72"/>
    <w:multiLevelType w:val="multilevel"/>
    <w:tmpl w:val="E378F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hideSpellingErrors/>
  <w:trackRevisions/>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80594E"/>
    <w:rsid w:val="00023481"/>
    <w:rsid w:val="000C39A3"/>
    <w:rsid w:val="001812A1"/>
    <w:rsid w:val="001B7A38"/>
    <w:rsid w:val="001C675D"/>
    <w:rsid w:val="001D5CBA"/>
    <w:rsid w:val="001F3404"/>
    <w:rsid w:val="00202816"/>
    <w:rsid w:val="00222447"/>
    <w:rsid w:val="00252442"/>
    <w:rsid w:val="00252642"/>
    <w:rsid w:val="002701A2"/>
    <w:rsid w:val="003071C4"/>
    <w:rsid w:val="003736F2"/>
    <w:rsid w:val="003816FD"/>
    <w:rsid w:val="00390B70"/>
    <w:rsid w:val="003A05C1"/>
    <w:rsid w:val="004411A9"/>
    <w:rsid w:val="004667A9"/>
    <w:rsid w:val="004A6D75"/>
    <w:rsid w:val="00526909"/>
    <w:rsid w:val="005534A4"/>
    <w:rsid w:val="006005CD"/>
    <w:rsid w:val="00626E9A"/>
    <w:rsid w:val="006311FB"/>
    <w:rsid w:val="00650FF4"/>
    <w:rsid w:val="006C0147"/>
    <w:rsid w:val="006E3657"/>
    <w:rsid w:val="006E7827"/>
    <w:rsid w:val="006F5E8B"/>
    <w:rsid w:val="00714AF1"/>
    <w:rsid w:val="00732A73"/>
    <w:rsid w:val="00763E1E"/>
    <w:rsid w:val="007650BC"/>
    <w:rsid w:val="007B1B34"/>
    <w:rsid w:val="0080594E"/>
    <w:rsid w:val="008071B9"/>
    <w:rsid w:val="008B574F"/>
    <w:rsid w:val="009B2BAB"/>
    <w:rsid w:val="009E2405"/>
    <w:rsid w:val="00A272C0"/>
    <w:rsid w:val="00A411EB"/>
    <w:rsid w:val="00A41557"/>
    <w:rsid w:val="00A451F5"/>
    <w:rsid w:val="00A52075"/>
    <w:rsid w:val="00A63893"/>
    <w:rsid w:val="00A64210"/>
    <w:rsid w:val="00AD2B0D"/>
    <w:rsid w:val="00AF2443"/>
    <w:rsid w:val="00B150CE"/>
    <w:rsid w:val="00B54457"/>
    <w:rsid w:val="00BA2C23"/>
    <w:rsid w:val="00BB0434"/>
    <w:rsid w:val="00C24ECD"/>
    <w:rsid w:val="00C62791"/>
    <w:rsid w:val="00C8378B"/>
    <w:rsid w:val="00CA380D"/>
    <w:rsid w:val="00CA6713"/>
    <w:rsid w:val="00D61ABF"/>
    <w:rsid w:val="00DE514C"/>
    <w:rsid w:val="00E06367"/>
    <w:rsid w:val="00E2660A"/>
    <w:rsid w:val="00EB4868"/>
    <w:rsid w:val="00F121A4"/>
    <w:rsid w:val="00F17034"/>
    <w:rsid w:val="00F36BA1"/>
    <w:rsid w:val="00F46772"/>
    <w:rsid w:val="00F81599"/>
    <w:rsid w:val="00FA4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91EA34-3EDC-49BF-8B0B-869BA2F2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next w:val="a"/>
    <w:uiPriority w:val="9"/>
    <w:unhideWhenUsed/>
    <w:qFormat/>
    <w:pPr>
      <w:keepNext/>
      <w:keepLines/>
      <w:spacing w:before="156" w:after="156"/>
      <w:outlineLvl w:val="1"/>
    </w:pPr>
    <w:rPr>
      <w:szCs w:val="21"/>
    </w:rPr>
  </w:style>
  <w:style w:type="paragraph" w:styleId="3">
    <w:name w:val="heading 3"/>
    <w:basedOn w:val="a"/>
    <w:next w:val="a"/>
    <w:uiPriority w:val="99"/>
    <w:qFormat/>
    <w:rsid w:val="00B74129"/>
    <w:pPr>
      <w:keepNext/>
      <w:keepLines/>
      <w:spacing w:before="300" w:after="300" w:line="241" w:lineRule="auto"/>
      <w:jc w:val="both"/>
      <w:outlineLvl w:val="2"/>
    </w:pPr>
    <w:rPr>
      <w:rFonts w:eastAsia="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1">
    <w:name w:val="toc 1"/>
    <w:basedOn w:val="a"/>
    <w:next w:val="a"/>
    <w:autoRedefine/>
    <w:uiPriority w:val="39"/>
  </w:style>
  <w:style w:type="paragraph" w:styleId="20">
    <w:name w:val="toc 2"/>
    <w:basedOn w:val="a"/>
    <w:next w:val="a"/>
    <w:autoRedefine/>
    <w:uiPriority w:val="39"/>
    <w:unhideWhenUsed/>
    <w:pPr>
      <w:ind w:leftChars="200" w:left="420"/>
    </w:pPr>
  </w:style>
  <w:style w:type="paragraph" w:styleId="a4">
    <w:name w:val="Normal (Web)"/>
    <w:basedOn w:val="a"/>
    <w:uiPriority w:val="99"/>
    <w:unhideWhenUsed/>
    <w:pPr>
      <w:widowControl/>
      <w:spacing w:before="100" w:beforeAutospacing="1" w:after="100" w:afterAutospacing="1"/>
    </w:pPr>
    <w:rPr>
      <w:rFonts w:ascii="宋体" w:eastAsia="宋体" w:hAnsi="宋体" w:cs="宋体"/>
      <w:kern w:val="0"/>
      <w:sz w:val="24"/>
      <w:szCs w:val="24"/>
    </w:rPr>
  </w:style>
  <w:style w:type="character" w:styleId="a5">
    <w:name w:val="Strong"/>
    <w:basedOn w:val="a0"/>
    <w:uiPriority w:val="22"/>
    <w:qFormat/>
    <w:rPr>
      <w:b/>
      <w:bCs/>
    </w:rPr>
  </w:style>
  <w:style w:type="paragraph" w:styleId="a6">
    <w:name w:val="header"/>
    <w:basedOn w:val="a"/>
    <w:link w:val="Char"/>
    <w:uiPriority w:val="99"/>
    <w:unhideWhenUsed/>
    <w:rsid w:val="006311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6311FB"/>
    <w:rPr>
      <w:sz w:val="18"/>
      <w:szCs w:val="18"/>
    </w:rPr>
  </w:style>
  <w:style w:type="paragraph" w:styleId="a7">
    <w:name w:val="footer"/>
    <w:basedOn w:val="a"/>
    <w:link w:val="Char0"/>
    <w:uiPriority w:val="99"/>
    <w:unhideWhenUsed/>
    <w:rsid w:val="006311FB"/>
    <w:pPr>
      <w:tabs>
        <w:tab w:val="center" w:pos="4153"/>
        <w:tab w:val="right" w:pos="8306"/>
      </w:tabs>
      <w:snapToGrid w:val="0"/>
    </w:pPr>
    <w:rPr>
      <w:sz w:val="18"/>
      <w:szCs w:val="18"/>
    </w:rPr>
  </w:style>
  <w:style w:type="character" w:customStyle="1" w:styleId="Char0">
    <w:name w:val="页脚 Char"/>
    <w:basedOn w:val="a0"/>
    <w:link w:val="a7"/>
    <w:uiPriority w:val="99"/>
    <w:rsid w:val="006311FB"/>
    <w:rPr>
      <w:sz w:val="18"/>
      <w:szCs w:val="18"/>
    </w:rPr>
  </w:style>
  <w:style w:type="paragraph" w:styleId="a8">
    <w:name w:val="Revision"/>
    <w:hidden/>
    <w:uiPriority w:val="99"/>
    <w:semiHidden/>
    <w:rsid w:val="00BB0434"/>
  </w:style>
  <w:style w:type="paragraph" w:styleId="a9">
    <w:name w:val="Balloon Text"/>
    <w:basedOn w:val="a"/>
    <w:link w:val="Char1"/>
    <w:uiPriority w:val="99"/>
    <w:semiHidden/>
    <w:unhideWhenUsed/>
    <w:rsid w:val="00BB0434"/>
    <w:rPr>
      <w:sz w:val="18"/>
      <w:szCs w:val="18"/>
    </w:rPr>
  </w:style>
  <w:style w:type="character" w:customStyle="1" w:styleId="Char1">
    <w:name w:val="批注框文本 Char"/>
    <w:basedOn w:val="a0"/>
    <w:link w:val="a9"/>
    <w:uiPriority w:val="99"/>
    <w:semiHidden/>
    <w:rsid w:val="00BB04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13395">
      <w:bodyDiv w:val="1"/>
      <w:marLeft w:val="0"/>
      <w:marRight w:val="0"/>
      <w:marTop w:val="0"/>
      <w:marBottom w:val="0"/>
      <w:divBdr>
        <w:top w:val="none" w:sz="0" w:space="0" w:color="auto"/>
        <w:left w:val="none" w:sz="0" w:space="0" w:color="auto"/>
        <w:bottom w:val="none" w:sz="0" w:space="0" w:color="auto"/>
        <w:right w:val="none" w:sz="0" w:space="0" w:color="auto"/>
      </w:divBdr>
    </w:div>
    <w:div w:id="47462078">
      <w:bodyDiv w:val="1"/>
      <w:marLeft w:val="0"/>
      <w:marRight w:val="0"/>
      <w:marTop w:val="0"/>
      <w:marBottom w:val="0"/>
      <w:divBdr>
        <w:top w:val="none" w:sz="0" w:space="0" w:color="auto"/>
        <w:left w:val="none" w:sz="0" w:space="0" w:color="auto"/>
        <w:bottom w:val="none" w:sz="0" w:space="0" w:color="auto"/>
        <w:right w:val="none" w:sz="0" w:space="0" w:color="auto"/>
      </w:divBdr>
    </w:div>
    <w:div w:id="94642062">
      <w:bodyDiv w:val="1"/>
      <w:marLeft w:val="0"/>
      <w:marRight w:val="0"/>
      <w:marTop w:val="0"/>
      <w:marBottom w:val="0"/>
      <w:divBdr>
        <w:top w:val="none" w:sz="0" w:space="0" w:color="auto"/>
        <w:left w:val="none" w:sz="0" w:space="0" w:color="auto"/>
        <w:bottom w:val="none" w:sz="0" w:space="0" w:color="auto"/>
        <w:right w:val="none" w:sz="0" w:space="0" w:color="auto"/>
      </w:divBdr>
    </w:div>
    <w:div w:id="97868507">
      <w:bodyDiv w:val="1"/>
      <w:marLeft w:val="0"/>
      <w:marRight w:val="0"/>
      <w:marTop w:val="0"/>
      <w:marBottom w:val="0"/>
      <w:divBdr>
        <w:top w:val="none" w:sz="0" w:space="0" w:color="auto"/>
        <w:left w:val="none" w:sz="0" w:space="0" w:color="auto"/>
        <w:bottom w:val="none" w:sz="0" w:space="0" w:color="auto"/>
        <w:right w:val="none" w:sz="0" w:space="0" w:color="auto"/>
      </w:divBdr>
    </w:div>
    <w:div w:id="104930585">
      <w:bodyDiv w:val="1"/>
      <w:marLeft w:val="0"/>
      <w:marRight w:val="0"/>
      <w:marTop w:val="0"/>
      <w:marBottom w:val="0"/>
      <w:divBdr>
        <w:top w:val="none" w:sz="0" w:space="0" w:color="auto"/>
        <w:left w:val="none" w:sz="0" w:space="0" w:color="auto"/>
        <w:bottom w:val="none" w:sz="0" w:space="0" w:color="auto"/>
        <w:right w:val="none" w:sz="0" w:space="0" w:color="auto"/>
      </w:divBdr>
    </w:div>
    <w:div w:id="142089459">
      <w:bodyDiv w:val="1"/>
      <w:marLeft w:val="0"/>
      <w:marRight w:val="0"/>
      <w:marTop w:val="0"/>
      <w:marBottom w:val="0"/>
      <w:divBdr>
        <w:top w:val="none" w:sz="0" w:space="0" w:color="auto"/>
        <w:left w:val="none" w:sz="0" w:space="0" w:color="auto"/>
        <w:bottom w:val="none" w:sz="0" w:space="0" w:color="auto"/>
        <w:right w:val="none" w:sz="0" w:space="0" w:color="auto"/>
      </w:divBdr>
    </w:div>
    <w:div w:id="144442939">
      <w:bodyDiv w:val="1"/>
      <w:marLeft w:val="0"/>
      <w:marRight w:val="0"/>
      <w:marTop w:val="0"/>
      <w:marBottom w:val="0"/>
      <w:divBdr>
        <w:top w:val="none" w:sz="0" w:space="0" w:color="auto"/>
        <w:left w:val="none" w:sz="0" w:space="0" w:color="auto"/>
        <w:bottom w:val="none" w:sz="0" w:space="0" w:color="auto"/>
        <w:right w:val="none" w:sz="0" w:space="0" w:color="auto"/>
      </w:divBdr>
    </w:div>
    <w:div w:id="168109229">
      <w:bodyDiv w:val="1"/>
      <w:marLeft w:val="0"/>
      <w:marRight w:val="0"/>
      <w:marTop w:val="0"/>
      <w:marBottom w:val="0"/>
      <w:divBdr>
        <w:top w:val="none" w:sz="0" w:space="0" w:color="auto"/>
        <w:left w:val="none" w:sz="0" w:space="0" w:color="auto"/>
        <w:bottom w:val="none" w:sz="0" w:space="0" w:color="auto"/>
        <w:right w:val="none" w:sz="0" w:space="0" w:color="auto"/>
      </w:divBdr>
    </w:div>
    <w:div w:id="189879636">
      <w:bodyDiv w:val="1"/>
      <w:marLeft w:val="0"/>
      <w:marRight w:val="0"/>
      <w:marTop w:val="0"/>
      <w:marBottom w:val="0"/>
      <w:divBdr>
        <w:top w:val="none" w:sz="0" w:space="0" w:color="auto"/>
        <w:left w:val="none" w:sz="0" w:space="0" w:color="auto"/>
        <w:bottom w:val="none" w:sz="0" w:space="0" w:color="auto"/>
        <w:right w:val="none" w:sz="0" w:space="0" w:color="auto"/>
      </w:divBdr>
    </w:div>
    <w:div w:id="219830956">
      <w:bodyDiv w:val="1"/>
      <w:marLeft w:val="0"/>
      <w:marRight w:val="0"/>
      <w:marTop w:val="0"/>
      <w:marBottom w:val="0"/>
      <w:divBdr>
        <w:top w:val="none" w:sz="0" w:space="0" w:color="auto"/>
        <w:left w:val="none" w:sz="0" w:space="0" w:color="auto"/>
        <w:bottom w:val="none" w:sz="0" w:space="0" w:color="auto"/>
        <w:right w:val="none" w:sz="0" w:space="0" w:color="auto"/>
      </w:divBdr>
    </w:div>
    <w:div w:id="236482607">
      <w:bodyDiv w:val="1"/>
      <w:marLeft w:val="0"/>
      <w:marRight w:val="0"/>
      <w:marTop w:val="0"/>
      <w:marBottom w:val="0"/>
      <w:divBdr>
        <w:top w:val="none" w:sz="0" w:space="0" w:color="auto"/>
        <w:left w:val="none" w:sz="0" w:space="0" w:color="auto"/>
        <w:bottom w:val="none" w:sz="0" w:space="0" w:color="auto"/>
        <w:right w:val="none" w:sz="0" w:space="0" w:color="auto"/>
      </w:divBdr>
    </w:div>
    <w:div w:id="270817632">
      <w:bodyDiv w:val="1"/>
      <w:marLeft w:val="0"/>
      <w:marRight w:val="0"/>
      <w:marTop w:val="0"/>
      <w:marBottom w:val="0"/>
      <w:divBdr>
        <w:top w:val="none" w:sz="0" w:space="0" w:color="auto"/>
        <w:left w:val="none" w:sz="0" w:space="0" w:color="auto"/>
        <w:bottom w:val="none" w:sz="0" w:space="0" w:color="auto"/>
        <w:right w:val="none" w:sz="0" w:space="0" w:color="auto"/>
      </w:divBdr>
    </w:div>
    <w:div w:id="271203584">
      <w:bodyDiv w:val="1"/>
      <w:marLeft w:val="0"/>
      <w:marRight w:val="0"/>
      <w:marTop w:val="0"/>
      <w:marBottom w:val="0"/>
      <w:divBdr>
        <w:top w:val="none" w:sz="0" w:space="0" w:color="auto"/>
        <w:left w:val="none" w:sz="0" w:space="0" w:color="auto"/>
        <w:bottom w:val="none" w:sz="0" w:space="0" w:color="auto"/>
        <w:right w:val="none" w:sz="0" w:space="0" w:color="auto"/>
      </w:divBdr>
    </w:div>
    <w:div w:id="290014633">
      <w:bodyDiv w:val="1"/>
      <w:marLeft w:val="0"/>
      <w:marRight w:val="0"/>
      <w:marTop w:val="0"/>
      <w:marBottom w:val="0"/>
      <w:divBdr>
        <w:top w:val="none" w:sz="0" w:space="0" w:color="auto"/>
        <w:left w:val="none" w:sz="0" w:space="0" w:color="auto"/>
        <w:bottom w:val="none" w:sz="0" w:space="0" w:color="auto"/>
        <w:right w:val="none" w:sz="0" w:space="0" w:color="auto"/>
      </w:divBdr>
    </w:div>
    <w:div w:id="299237500">
      <w:bodyDiv w:val="1"/>
      <w:marLeft w:val="0"/>
      <w:marRight w:val="0"/>
      <w:marTop w:val="0"/>
      <w:marBottom w:val="0"/>
      <w:divBdr>
        <w:top w:val="none" w:sz="0" w:space="0" w:color="auto"/>
        <w:left w:val="none" w:sz="0" w:space="0" w:color="auto"/>
        <w:bottom w:val="none" w:sz="0" w:space="0" w:color="auto"/>
        <w:right w:val="none" w:sz="0" w:space="0" w:color="auto"/>
      </w:divBdr>
    </w:div>
    <w:div w:id="308942217">
      <w:bodyDiv w:val="1"/>
      <w:marLeft w:val="0"/>
      <w:marRight w:val="0"/>
      <w:marTop w:val="0"/>
      <w:marBottom w:val="0"/>
      <w:divBdr>
        <w:top w:val="none" w:sz="0" w:space="0" w:color="auto"/>
        <w:left w:val="none" w:sz="0" w:space="0" w:color="auto"/>
        <w:bottom w:val="none" w:sz="0" w:space="0" w:color="auto"/>
        <w:right w:val="none" w:sz="0" w:space="0" w:color="auto"/>
      </w:divBdr>
    </w:div>
    <w:div w:id="313725504">
      <w:bodyDiv w:val="1"/>
      <w:marLeft w:val="0"/>
      <w:marRight w:val="0"/>
      <w:marTop w:val="0"/>
      <w:marBottom w:val="0"/>
      <w:divBdr>
        <w:top w:val="none" w:sz="0" w:space="0" w:color="auto"/>
        <w:left w:val="none" w:sz="0" w:space="0" w:color="auto"/>
        <w:bottom w:val="none" w:sz="0" w:space="0" w:color="auto"/>
        <w:right w:val="none" w:sz="0" w:space="0" w:color="auto"/>
      </w:divBdr>
    </w:div>
    <w:div w:id="317347176">
      <w:bodyDiv w:val="1"/>
      <w:marLeft w:val="0"/>
      <w:marRight w:val="0"/>
      <w:marTop w:val="0"/>
      <w:marBottom w:val="0"/>
      <w:divBdr>
        <w:top w:val="none" w:sz="0" w:space="0" w:color="auto"/>
        <w:left w:val="none" w:sz="0" w:space="0" w:color="auto"/>
        <w:bottom w:val="none" w:sz="0" w:space="0" w:color="auto"/>
        <w:right w:val="none" w:sz="0" w:space="0" w:color="auto"/>
      </w:divBdr>
    </w:div>
    <w:div w:id="321159134">
      <w:bodyDiv w:val="1"/>
      <w:marLeft w:val="0"/>
      <w:marRight w:val="0"/>
      <w:marTop w:val="0"/>
      <w:marBottom w:val="0"/>
      <w:divBdr>
        <w:top w:val="none" w:sz="0" w:space="0" w:color="auto"/>
        <w:left w:val="none" w:sz="0" w:space="0" w:color="auto"/>
        <w:bottom w:val="none" w:sz="0" w:space="0" w:color="auto"/>
        <w:right w:val="none" w:sz="0" w:space="0" w:color="auto"/>
      </w:divBdr>
    </w:div>
    <w:div w:id="337392126">
      <w:bodyDiv w:val="1"/>
      <w:marLeft w:val="0"/>
      <w:marRight w:val="0"/>
      <w:marTop w:val="0"/>
      <w:marBottom w:val="0"/>
      <w:divBdr>
        <w:top w:val="none" w:sz="0" w:space="0" w:color="auto"/>
        <w:left w:val="none" w:sz="0" w:space="0" w:color="auto"/>
        <w:bottom w:val="none" w:sz="0" w:space="0" w:color="auto"/>
        <w:right w:val="none" w:sz="0" w:space="0" w:color="auto"/>
      </w:divBdr>
    </w:div>
    <w:div w:id="342244369">
      <w:bodyDiv w:val="1"/>
      <w:marLeft w:val="0"/>
      <w:marRight w:val="0"/>
      <w:marTop w:val="0"/>
      <w:marBottom w:val="0"/>
      <w:divBdr>
        <w:top w:val="none" w:sz="0" w:space="0" w:color="auto"/>
        <w:left w:val="none" w:sz="0" w:space="0" w:color="auto"/>
        <w:bottom w:val="none" w:sz="0" w:space="0" w:color="auto"/>
        <w:right w:val="none" w:sz="0" w:space="0" w:color="auto"/>
      </w:divBdr>
    </w:div>
    <w:div w:id="347565466">
      <w:bodyDiv w:val="1"/>
      <w:marLeft w:val="0"/>
      <w:marRight w:val="0"/>
      <w:marTop w:val="0"/>
      <w:marBottom w:val="0"/>
      <w:divBdr>
        <w:top w:val="none" w:sz="0" w:space="0" w:color="auto"/>
        <w:left w:val="none" w:sz="0" w:space="0" w:color="auto"/>
        <w:bottom w:val="none" w:sz="0" w:space="0" w:color="auto"/>
        <w:right w:val="none" w:sz="0" w:space="0" w:color="auto"/>
      </w:divBdr>
    </w:div>
    <w:div w:id="372197762">
      <w:bodyDiv w:val="1"/>
      <w:marLeft w:val="0"/>
      <w:marRight w:val="0"/>
      <w:marTop w:val="0"/>
      <w:marBottom w:val="0"/>
      <w:divBdr>
        <w:top w:val="none" w:sz="0" w:space="0" w:color="auto"/>
        <w:left w:val="none" w:sz="0" w:space="0" w:color="auto"/>
        <w:bottom w:val="none" w:sz="0" w:space="0" w:color="auto"/>
        <w:right w:val="none" w:sz="0" w:space="0" w:color="auto"/>
      </w:divBdr>
    </w:div>
    <w:div w:id="386223395">
      <w:bodyDiv w:val="1"/>
      <w:marLeft w:val="0"/>
      <w:marRight w:val="0"/>
      <w:marTop w:val="0"/>
      <w:marBottom w:val="0"/>
      <w:divBdr>
        <w:top w:val="none" w:sz="0" w:space="0" w:color="auto"/>
        <w:left w:val="none" w:sz="0" w:space="0" w:color="auto"/>
        <w:bottom w:val="none" w:sz="0" w:space="0" w:color="auto"/>
        <w:right w:val="none" w:sz="0" w:space="0" w:color="auto"/>
      </w:divBdr>
    </w:div>
    <w:div w:id="403767598">
      <w:bodyDiv w:val="1"/>
      <w:marLeft w:val="0"/>
      <w:marRight w:val="0"/>
      <w:marTop w:val="0"/>
      <w:marBottom w:val="0"/>
      <w:divBdr>
        <w:top w:val="none" w:sz="0" w:space="0" w:color="auto"/>
        <w:left w:val="none" w:sz="0" w:space="0" w:color="auto"/>
        <w:bottom w:val="none" w:sz="0" w:space="0" w:color="auto"/>
        <w:right w:val="none" w:sz="0" w:space="0" w:color="auto"/>
      </w:divBdr>
    </w:div>
    <w:div w:id="414790779">
      <w:bodyDiv w:val="1"/>
      <w:marLeft w:val="0"/>
      <w:marRight w:val="0"/>
      <w:marTop w:val="0"/>
      <w:marBottom w:val="0"/>
      <w:divBdr>
        <w:top w:val="none" w:sz="0" w:space="0" w:color="auto"/>
        <w:left w:val="none" w:sz="0" w:space="0" w:color="auto"/>
        <w:bottom w:val="none" w:sz="0" w:space="0" w:color="auto"/>
        <w:right w:val="none" w:sz="0" w:space="0" w:color="auto"/>
      </w:divBdr>
    </w:div>
    <w:div w:id="420416381">
      <w:bodyDiv w:val="1"/>
      <w:marLeft w:val="0"/>
      <w:marRight w:val="0"/>
      <w:marTop w:val="0"/>
      <w:marBottom w:val="0"/>
      <w:divBdr>
        <w:top w:val="none" w:sz="0" w:space="0" w:color="auto"/>
        <w:left w:val="none" w:sz="0" w:space="0" w:color="auto"/>
        <w:bottom w:val="none" w:sz="0" w:space="0" w:color="auto"/>
        <w:right w:val="none" w:sz="0" w:space="0" w:color="auto"/>
      </w:divBdr>
    </w:div>
    <w:div w:id="436684020">
      <w:bodyDiv w:val="1"/>
      <w:marLeft w:val="0"/>
      <w:marRight w:val="0"/>
      <w:marTop w:val="0"/>
      <w:marBottom w:val="0"/>
      <w:divBdr>
        <w:top w:val="none" w:sz="0" w:space="0" w:color="auto"/>
        <w:left w:val="none" w:sz="0" w:space="0" w:color="auto"/>
        <w:bottom w:val="none" w:sz="0" w:space="0" w:color="auto"/>
        <w:right w:val="none" w:sz="0" w:space="0" w:color="auto"/>
      </w:divBdr>
    </w:div>
    <w:div w:id="443580057">
      <w:bodyDiv w:val="1"/>
      <w:marLeft w:val="0"/>
      <w:marRight w:val="0"/>
      <w:marTop w:val="0"/>
      <w:marBottom w:val="0"/>
      <w:divBdr>
        <w:top w:val="none" w:sz="0" w:space="0" w:color="auto"/>
        <w:left w:val="none" w:sz="0" w:space="0" w:color="auto"/>
        <w:bottom w:val="none" w:sz="0" w:space="0" w:color="auto"/>
        <w:right w:val="none" w:sz="0" w:space="0" w:color="auto"/>
      </w:divBdr>
    </w:div>
    <w:div w:id="446121335">
      <w:bodyDiv w:val="1"/>
      <w:marLeft w:val="0"/>
      <w:marRight w:val="0"/>
      <w:marTop w:val="0"/>
      <w:marBottom w:val="0"/>
      <w:divBdr>
        <w:top w:val="none" w:sz="0" w:space="0" w:color="auto"/>
        <w:left w:val="none" w:sz="0" w:space="0" w:color="auto"/>
        <w:bottom w:val="none" w:sz="0" w:space="0" w:color="auto"/>
        <w:right w:val="none" w:sz="0" w:space="0" w:color="auto"/>
      </w:divBdr>
    </w:div>
    <w:div w:id="447048878">
      <w:bodyDiv w:val="1"/>
      <w:marLeft w:val="0"/>
      <w:marRight w:val="0"/>
      <w:marTop w:val="0"/>
      <w:marBottom w:val="0"/>
      <w:divBdr>
        <w:top w:val="none" w:sz="0" w:space="0" w:color="auto"/>
        <w:left w:val="none" w:sz="0" w:space="0" w:color="auto"/>
        <w:bottom w:val="none" w:sz="0" w:space="0" w:color="auto"/>
        <w:right w:val="none" w:sz="0" w:space="0" w:color="auto"/>
      </w:divBdr>
    </w:div>
    <w:div w:id="468715553">
      <w:bodyDiv w:val="1"/>
      <w:marLeft w:val="0"/>
      <w:marRight w:val="0"/>
      <w:marTop w:val="0"/>
      <w:marBottom w:val="0"/>
      <w:divBdr>
        <w:top w:val="none" w:sz="0" w:space="0" w:color="auto"/>
        <w:left w:val="none" w:sz="0" w:space="0" w:color="auto"/>
        <w:bottom w:val="none" w:sz="0" w:space="0" w:color="auto"/>
        <w:right w:val="none" w:sz="0" w:space="0" w:color="auto"/>
      </w:divBdr>
    </w:div>
    <w:div w:id="482048129">
      <w:bodyDiv w:val="1"/>
      <w:marLeft w:val="0"/>
      <w:marRight w:val="0"/>
      <w:marTop w:val="0"/>
      <w:marBottom w:val="0"/>
      <w:divBdr>
        <w:top w:val="none" w:sz="0" w:space="0" w:color="auto"/>
        <w:left w:val="none" w:sz="0" w:space="0" w:color="auto"/>
        <w:bottom w:val="none" w:sz="0" w:space="0" w:color="auto"/>
        <w:right w:val="none" w:sz="0" w:space="0" w:color="auto"/>
      </w:divBdr>
    </w:div>
    <w:div w:id="503210816">
      <w:bodyDiv w:val="1"/>
      <w:marLeft w:val="0"/>
      <w:marRight w:val="0"/>
      <w:marTop w:val="0"/>
      <w:marBottom w:val="0"/>
      <w:divBdr>
        <w:top w:val="none" w:sz="0" w:space="0" w:color="auto"/>
        <w:left w:val="none" w:sz="0" w:space="0" w:color="auto"/>
        <w:bottom w:val="none" w:sz="0" w:space="0" w:color="auto"/>
        <w:right w:val="none" w:sz="0" w:space="0" w:color="auto"/>
      </w:divBdr>
    </w:div>
    <w:div w:id="525212140">
      <w:bodyDiv w:val="1"/>
      <w:marLeft w:val="0"/>
      <w:marRight w:val="0"/>
      <w:marTop w:val="0"/>
      <w:marBottom w:val="0"/>
      <w:divBdr>
        <w:top w:val="none" w:sz="0" w:space="0" w:color="auto"/>
        <w:left w:val="none" w:sz="0" w:space="0" w:color="auto"/>
        <w:bottom w:val="none" w:sz="0" w:space="0" w:color="auto"/>
        <w:right w:val="none" w:sz="0" w:space="0" w:color="auto"/>
      </w:divBdr>
    </w:div>
    <w:div w:id="544484302">
      <w:bodyDiv w:val="1"/>
      <w:marLeft w:val="0"/>
      <w:marRight w:val="0"/>
      <w:marTop w:val="0"/>
      <w:marBottom w:val="0"/>
      <w:divBdr>
        <w:top w:val="none" w:sz="0" w:space="0" w:color="auto"/>
        <w:left w:val="none" w:sz="0" w:space="0" w:color="auto"/>
        <w:bottom w:val="none" w:sz="0" w:space="0" w:color="auto"/>
        <w:right w:val="none" w:sz="0" w:space="0" w:color="auto"/>
      </w:divBdr>
    </w:div>
    <w:div w:id="545021048">
      <w:bodyDiv w:val="1"/>
      <w:marLeft w:val="0"/>
      <w:marRight w:val="0"/>
      <w:marTop w:val="0"/>
      <w:marBottom w:val="0"/>
      <w:divBdr>
        <w:top w:val="none" w:sz="0" w:space="0" w:color="auto"/>
        <w:left w:val="none" w:sz="0" w:space="0" w:color="auto"/>
        <w:bottom w:val="none" w:sz="0" w:space="0" w:color="auto"/>
        <w:right w:val="none" w:sz="0" w:space="0" w:color="auto"/>
      </w:divBdr>
    </w:div>
    <w:div w:id="560136208">
      <w:bodyDiv w:val="1"/>
      <w:marLeft w:val="0"/>
      <w:marRight w:val="0"/>
      <w:marTop w:val="0"/>
      <w:marBottom w:val="0"/>
      <w:divBdr>
        <w:top w:val="none" w:sz="0" w:space="0" w:color="auto"/>
        <w:left w:val="none" w:sz="0" w:space="0" w:color="auto"/>
        <w:bottom w:val="none" w:sz="0" w:space="0" w:color="auto"/>
        <w:right w:val="none" w:sz="0" w:space="0" w:color="auto"/>
      </w:divBdr>
    </w:div>
    <w:div w:id="563639082">
      <w:bodyDiv w:val="1"/>
      <w:marLeft w:val="0"/>
      <w:marRight w:val="0"/>
      <w:marTop w:val="0"/>
      <w:marBottom w:val="0"/>
      <w:divBdr>
        <w:top w:val="none" w:sz="0" w:space="0" w:color="auto"/>
        <w:left w:val="none" w:sz="0" w:space="0" w:color="auto"/>
        <w:bottom w:val="none" w:sz="0" w:space="0" w:color="auto"/>
        <w:right w:val="none" w:sz="0" w:space="0" w:color="auto"/>
      </w:divBdr>
    </w:div>
    <w:div w:id="569585627">
      <w:bodyDiv w:val="1"/>
      <w:marLeft w:val="0"/>
      <w:marRight w:val="0"/>
      <w:marTop w:val="0"/>
      <w:marBottom w:val="0"/>
      <w:divBdr>
        <w:top w:val="none" w:sz="0" w:space="0" w:color="auto"/>
        <w:left w:val="none" w:sz="0" w:space="0" w:color="auto"/>
        <w:bottom w:val="none" w:sz="0" w:space="0" w:color="auto"/>
        <w:right w:val="none" w:sz="0" w:space="0" w:color="auto"/>
      </w:divBdr>
    </w:div>
    <w:div w:id="569775927">
      <w:bodyDiv w:val="1"/>
      <w:marLeft w:val="0"/>
      <w:marRight w:val="0"/>
      <w:marTop w:val="0"/>
      <w:marBottom w:val="0"/>
      <w:divBdr>
        <w:top w:val="none" w:sz="0" w:space="0" w:color="auto"/>
        <w:left w:val="none" w:sz="0" w:space="0" w:color="auto"/>
        <w:bottom w:val="none" w:sz="0" w:space="0" w:color="auto"/>
        <w:right w:val="none" w:sz="0" w:space="0" w:color="auto"/>
      </w:divBdr>
    </w:div>
    <w:div w:id="575745143">
      <w:bodyDiv w:val="1"/>
      <w:marLeft w:val="0"/>
      <w:marRight w:val="0"/>
      <w:marTop w:val="0"/>
      <w:marBottom w:val="0"/>
      <w:divBdr>
        <w:top w:val="none" w:sz="0" w:space="0" w:color="auto"/>
        <w:left w:val="none" w:sz="0" w:space="0" w:color="auto"/>
        <w:bottom w:val="none" w:sz="0" w:space="0" w:color="auto"/>
        <w:right w:val="none" w:sz="0" w:space="0" w:color="auto"/>
      </w:divBdr>
    </w:div>
    <w:div w:id="581181103">
      <w:bodyDiv w:val="1"/>
      <w:marLeft w:val="0"/>
      <w:marRight w:val="0"/>
      <w:marTop w:val="0"/>
      <w:marBottom w:val="0"/>
      <w:divBdr>
        <w:top w:val="none" w:sz="0" w:space="0" w:color="auto"/>
        <w:left w:val="none" w:sz="0" w:space="0" w:color="auto"/>
        <w:bottom w:val="none" w:sz="0" w:space="0" w:color="auto"/>
        <w:right w:val="none" w:sz="0" w:space="0" w:color="auto"/>
      </w:divBdr>
    </w:div>
    <w:div w:id="597523683">
      <w:bodyDiv w:val="1"/>
      <w:marLeft w:val="0"/>
      <w:marRight w:val="0"/>
      <w:marTop w:val="0"/>
      <w:marBottom w:val="0"/>
      <w:divBdr>
        <w:top w:val="none" w:sz="0" w:space="0" w:color="auto"/>
        <w:left w:val="none" w:sz="0" w:space="0" w:color="auto"/>
        <w:bottom w:val="none" w:sz="0" w:space="0" w:color="auto"/>
        <w:right w:val="none" w:sz="0" w:space="0" w:color="auto"/>
      </w:divBdr>
    </w:div>
    <w:div w:id="608775005">
      <w:bodyDiv w:val="1"/>
      <w:marLeft w:val="0"/>
      <w:marRight w:val="0"/>
      <w:marTop w:val="0"/>
      <w:marBottom w:val="0"/>
      <w:divBdr>
        <w:top w:val="none" w:sz="0" w:space="0" w:color="auto"/>
        <w:left w:val="none" w:sz="0" w:space="0" w:color="auto"/>
        <w:bottom w:val="none" w:sz="0" w:space="0" w:color="auto"/>
        <w:right w:val="none" w:sz="0" w:space="0" w:color="auto"/>
      </w:divBdr>
    </w:div>
    <w:div w:id="633366675">
      <w:bodyDiv w:val="1"/>
      <w:marLeft w:val="0"/>
      <w:marRight w:val="0"/>
      <w:marTop w:val="0"/>
      <w:marBottom w:val="0"/>
      <w:divBdr>
        <w:top w:val="none" w:sz="0" w:space="0" w:color="auto"/>
        <w:left w:val="none" w:sz="0" w:space="0" w:color="auto"/>
        <w:bottom w:val="none" w:sz="0" w:space="0" w:color="auto"/>
        <w:right w:val="none" w:sz="0" w:space="0" w:color="auto"/>
      </w:divBdr>
    </w:div>
    <w:div w:id="654458061">
      <w:bodyDiv w:val="1"/>
      <w:marLeft w:val="0"/>
      <w:marRight w:val="0"/>
      <w:marTop w:val="0"/>
      <w:marBottom w:val="0"/>
      <w:divBdr>
        <w:top w:val="none" w:sz="0" w:space="0" w:color="auto"/>
        <w:left w:val="none" w:sz="0" w:space="0" w:color="auto"/>
        <w:bottom w:val="none" w:sz="0" w:space="0" w:color="auto"/>
        <w:right w:val="none" w:sz="0" w:space="0" w:color="auto"/>
      </w:divBdr>
    </w:div>
    <w:div w:id="661392133">
      <w:bodyDiv w:val="1"/>
      <w:marLeft w:val="0"/>
      <w:marRight w:val="0"/>
      <w:marTop w:val="0"/>
      <w:marBottom w:val="0"/>
      <w:divBdr>
        <w:top w:val="none" w:sz="0" w:space="0" w:color="auto"/>
        <w:left w:val="none" w:sz="0" w:space="0" w:color="auto"/>
        <w:bottom w:val="none" w:sz="0" w:space="0" w:color="auto"/>
        <w:right w:val="none" w:sz="0" w:space="0" w:color="auto"/>
      </w:divBdr>
    </w:div>
    <w:div w:id="671832914">
      <w:bodyDiv w:val="1"/>
      <w:marLeft w:val="0"/>
      <w:marRight w:val="0"/>
      <w:marTop w:val="0"/>
      <w:marBottom w:val="0"/>
      <w:divBdr>
        <w:top w:val="none" w:sz="0" w:space="0" w:color="auto"/>
        <w:left w:val="none" w:sz="0" w:space="0" w:color="auto"/>
        <w:bottom w:val="none" w:sz="0" w:space="0" w:color="auto"/>
        <w:right w:val="none" w:sz="0" w:space="0" w:color="auto"/>
      </w:divBdr>
    </w:div>
    <w:div w:id="705376924">
      <w:bodyDiv w:val="1"/>
      <w:marLeft w:val="0"/>
      <w:marRight w:val="0"/>
      <w:marTop w:val="0"/>
      <w:marBottom w:val="0"/>
      <w:divBdr>
        <w:top w:val="none" w:sz="0" w:space="0" w:color="auto"/>
        <w:left w:val="none" w:sz="0" w:space="0" w:color="auto"/>
        <w:bottom w:val="none" w:sz="0" w:space="0" w:color="auto"/>
        <w:right w:val="none" w:sz="0" w:space="0" w:color="auto"/>
      </w:divBdr>
    </w:div>
    <w:div w:id="728842632">
      <w:bodyDiv w:val="1"/>
      <w:marLeft w:val="0"/>
      <w:marRight w:val="0"/>
      <w:marTop w:val="0"/>
      <w:marBottom w:val="0"/>
      <w:divBdr>
        <w:top w:val="none" w:sz="0" w:space="0" w:color="auto"/>
        <w:left w:val="none" w:sz="0" w:space="0" w:color="auto"/>
        <w:bottom w:val="none" w:sz="0" w:space="0" w:color="auto"/>
        <w:right w:val="none" w:sz="0" w:space="0" w:color="auto"/>
      </w:divBdr>
    </w:div>
    <w:div w:id="744378355">
      <w:bodyDiv w:val="1"/>
      <w:marLeft w:val="0"/>
      <w:marRight w:val="0"/>
      <w:marTop w:val="0"/>
      <w:marBottom w:val="0"/>
      <w:divBdr>
        <w:top w:val="none" w:sz="0" w:space="0" w:color="auto"/>
        <w:left w:val="none" w:sz="0" w:space="0" w:color="auto"/>
        <w:bottom w:val="none" w:sz="0" w:space="0" w:color="auto"/>
        <w:right w:val="none" w:sz="0" w:space="0" w:color="auto"/>
      </w:divBdr>
    </w:div>
    <w:div w:id="747578270">
      <w:bodyDiv w:val="1"/>
      <w:marLeft w:val="0"/>
      <w:marRight w:val="0"/>
      <w:marTop w:val="0"/>
      <w:marBottom w:val="0"/>
      <w:divBdr>
        <w:top w:val="none" w:sz="0" w:space="0" w:color="auto"/>
        <w:left w:val="none" w:sz="0" w:space="0" w:color="auto"/>
        <w:bottom w:val="none" w:sz="0" w:space="0" w:color="auto"/>
        <w:right w:val="none" w:sz="0" w:space="0" w:color="auto"/>
      </w:divBdr>
    </w:div>
    <w:div w:id="757554312">
      <w:bodyDiv w:val="1"/>
      <w:marLeft w:val="0"/>
      <w:marRight w:val="0"/>
      <w:marTop w:val="0"/>
      <w:marBottom w:val="0"/>
      <w:divBdr>
        <w:top w:val="none" w:sz="0" w:space="0" w:color="auto"/>
        <w:left w:val="none" w:sz="0" w:space="0" w:color="auto"/>
        <w:bottom w:val="none" w:sz="0" w:space="0" w:color="auto"/>
        <w:right w:val="none" w:sz="0" w:space="0" w:color="auto"/>
      </w:divBdr>
    </w:div>
    <w:div w:id="822045910">
      <w:bodyDiv w:val="1"/>
      <w:marLeft w:val="0"/>
      <w:marRight w:val="0"/>
      <w:marTop w:val="0"/>
      <w:marBottom w:val="0"/>
      <w:divBdr>
        <w:top w:val="none" w:sz="0" w:space="0" w:color="auto"/>
        <w:left w:val="none" w:sz="0" w:space="0" w:color="auto"/>
        <w:bottom w:val="none" w:sz="0" w:space="0" w:color="auto"/>
        <w:right w:val="none" w:sz="0" w:space="0" w:color="auto"/>
      </w:divBdr>
    </w:div>
    <w:div w:id="848368122">
      <w:bodyDiv w:val="1"/>
      <w:marLeft w:val="0"/>
      <w:marRight w:val="0"/>
      <w:marTop w:val="0"/>
      <w:marBottom w:val="0"/>
      <w:divBdr>
        <w:top w:val="none" w:sz="0" w:space="0" w:color="auto"/>
        <w:left w:val="none" w:sz="0" w:space="0" w:color="auto"/>
        <w:bottom w:val="none" w:sz="0" w:space="0" w:color="auto"/>
        <w:right w:val="none" w:sz="0" w:space="0" w:color="auto"/>
      </w:divBdr>
    </w:div>
    <w:div w:id="860171849">
      <w:bodyDiv w:val="1"/>
      <w:marLeft w:val="0"/>
      <w:marRight w:val="0"/>
      <w:marTop w:val="0"/>
      <w:marBottom w:val="0"/>
      <w:divBdr>
        <w:top w:val="none" w:sz="0" w:space="0" w:color="auto"/>
        <w:left w:val="none" w:sz="0" w:space="0" w:color="auto"/>
        <w:bottom w:val="none" w:sz="0" w:space="0" w:color="auto"/>
        <w:right w:val="none" w:sz="0" w:space="0" w:color="auto"/>
      </w:divBdr>
    </w:div>
    <w:div w:id="873689541">
      <w:bodyDiv w:val="1"/>
      <w:marLeft w:val="0"/>
      <w:marRight w:val="0"/>
      <w:marTop w:val="0"/>
      <w:marBottom w:val="0"/>
      <w:divBdr>
        <w:top w:val="none" w:sz="0" w:space="0" w:color="auto"/>
        <w:left w:val="none" w:sz="0" w:space="0" w:color="auto"/>
        <w:bottom w:val="none" w:sz="0" w:space="0" w:color="auto"/>
        <w:right w:val="none" w:sz="0" w:space="0" w:color="auto"/>
      </w:divBdr>
    </w:div>
    <w:div w:id="897594929">
      <w:bodyDiv w:val="1"/>
      <w:marLeft w:val="0"/>
      <w:marRight w:val="0"/>
      <w:marTop w:val="0"/>
      <w:marBottom w:val="0"/>
      <w:divBdr>
        <w:top w:val="none" w:sz="0" w:space="0" w:color="auto"/>
        <w:left w:val="none" w:sz="0" w:space="0" w:color="auto"/>
        <w:bottom w:val="none" w:sz="0" w:space="0" w:color="auto"/>
        <w:right w:val="none" w:sz="0" w:space="0" w:color="auto"/>
      </w:divBdr>
    </w:div>
    <w:div w:id="943420912">
      <w:bodyDiv w:val="1"/>
      <w:marLeft w:val="0"/>
      <w:marRight w:val="0"/>
      <w:marTop w:val="0"/>
      <w:marBottom w:val="0"/>
      <w:divBdr>
        <w:top w:val="none" w:sz="0" w:space="0" w:color="auto"/>
        <w:left w:val="none" w:sz="0" w:space="0" w:color="auto"/>
        <w:bottom w:val="none" w:sz="0" w:space="0" w:color="auto"/>
        <w:right w:val="none" w:sz="0" w:space="0" w:color="auto"/>
      </w:divBdr>
    </w:div>
    <w:div w:id="958025474">
      <w:bodyDiv w:val="1"/>
      <w:marLeft w:val="0"/>
      <w:marRight w:val="0"/>
      <w:marTop w:val="0"/>
      <w:marBottom w:val="0"/>
      <w:divBdr>
        <w:top w:val="none" w:sz="0" w:space="0" w:color="auto"/>
        <w:left w:val="none" w:sz="0" w:space="0" w:color="auto"/>
        <w:bottom w:val="none" w:sz="0" w:space="0" w:color="auto"/>
        <w:right w:val="none" w:sz="0" w:space="0" w:color="auto"/>
      </w:divBdr>
    </w:div>
    <w:div w:id="1048332647">
      <w:bodyDiv w:val="1"/>
      <w:marLeft w:val="0"/>
      <w:marRight w:val="0"/>
      <w:marTop w:val="0"/>
      <w:marBottom w:val="0"/>
      <w:divBdr>
        <w:top w:val="none" w:sz="0" w:space="0" w:color="auto"/>
        <w:left w:val="none" w:sz="0" w:space="0" w:color="auto"/>
        <w:bottom w:val="none" w:sz="0" w:space="0" w:color="auto"/>
        <w:right w:val="none" w:sz="0" w:space="0" w:color="auto"/>
      </w:divBdr>
    </w:div>
    <w:div w:id="1097871173">
      <w:bodyDiv w:val="1"/>
      <w:marLeft w:val="0"/>
      <w:marRight w:val="0"/>
      <w:marTop w:val="0"/>
      <w:marBottom w:val="0"/>
      <w:divBdr>
        <w:top w:val="none" w:sz="0" w:space="0" w:color="auto"/>
        <w:left w:val="none" w:sz="0" w:space="0" w:color="auto"/>
        <w:bottom w:val="none" w:sz="0" w:space="0" w:color="auto"/>
        <w:right w:val="none" w:sz="0" w:space="0" w:color="auto"/>
      </w:divBdr>
    </w:div>
    <w:div w:id="1099790637">
      <w:bodyDiv w:val="1"/>
      <w:marLeft w:val="0"/>
      <w:marRight w:val="0"/>
      <w:marTop w:val="0"/>
      <w:marBottom w:val="0"/>
      <w:divBdr>
        <w:top w:val="none" w:sz="0" w:space="0" w:color="auto"/>
        <w:left w:val="none" w:sz="0" w:space="0" w:color="auto"/>
        <w:bottom w:val="none" w:sz="0" w:space="0" w:color="auto"/>
        <w:right w:val="none" w:sz="0" w:space="0" w:color="auto"/>
      </w:divBdr>
    </w:div>
    <w:div w:id="1106343220">
      <w:bodyDiv w:val="1"/>
      <w:marLeft w:val="0"/>
      <w:marRight w:val="0"/>
      <w:marTop w:val="0"/>
      <w:marBottom w:val="0"/>
      <w:divBdr>
        <w:top w:val="none" w:sz="0" w:space="0" w:color="auto"/>
        <w:left w:val="none" w:sz="0" w:space="0" w:color="auto"/>
        <w:bottom w:val="none" w:sz="0" w:space="0" w:color="auto"/>
        <w:right w:val="none" w:sz="0" w:space="0" w:color="auto"/>
      </w:divBdr>
    </w:div>
    <w:div w:id="1125537344">
      <w:bodyDiv w:val="1"/>
      <w:marLeft w:val="0"/>
      <w:marRight w:val="0"/>
      <w:marTop w:val="0"/>
      <w:marBottom w:val="0"/>
      <w:divBdr>
        <w:top w:val="none" w:sz="0" w:space="0" w:color="auto"/>
        <w:left w:val="none" w:sz="0" w:space="0" w:color="auto"/>
        <w:bottom w:val="none" w:sz="0" w:space="0" w:color="auto"/>
        <w:right w:val="none" w:sz="0" w:space="0" w:color="auto"/>
      </w:divBdr>
    </w:div>
    <w:div w:id="1185753869">
      <w:bodyDiv w:val="1"/>
      <w:marLeft w:val="0"/>
      <w:marRight w:val="0"/>
      <w:marTop w:val="0"/>
      <w:marBottom w:val="0"/>
      <w:divBdr>
        <w:top w:val="none" w:sz="0" w:space="0" w:color="auto"/>
        <w:left w:val="none" w:sz="0" w:space="0" w:color="auto"/>
        <w:bottom w:val="none" w:sz="0" w:space="0" w:color="auto"/>
        <w:right w:val="none" w:sz="0" w:space="0" w:color="auto"/>
      </w:divBdr>
    </w:div>
    <w:div w:id="1186092039">
      <w:bodyDiv w:val="1"/>
      <w:marLeft w:val="0"/>
      <w:marRight w:val="0"/>
      <w:marTop w:val="0"/>
      <w:marBottom w:val="0"/>
      <w:divBdr>
        <w:top w:val="none" w:sz="0" w:space="0" w:color="auto"/>
        <w:left w:val="none" w:sz="0" w:space="0" w:color="auto"/>
        <w:bottom w:val="none" w:sz="0" w:space="0" w:color="auto"/>
        <w:right w:val="none" w:sz="0" w:space="0" w:color="auto"/>
      </w:divBdr>
    </w:div>
    <w:div w:id="1214775868">
      <w:bodyDiv w:val="1"/>
      <w:marLeft w:val="0"/>
      <w:marRight w:val="0"/>
      <w:marTop w:val="0"/>
      <w:marBottom w:val="0"/>
      <w:divBdr>
        <w:top w:val="none" w:sz="0" w:space="0" w:color="auto"/>
        <w:left w:val="none" w:sz="0" w:space="0" w:color="auto"/>
        <w:bottom w:val="none" w:sz="0" w:space="0" w:color="auto"/>
        <w:right w:val="none" w:sz="0" w:space="0" w:color="auto"/>
      </w:divBdr>
    </w:div>
    <w:div w:id="1227182861">
      <w:bodyDiv w:val="1"/>
      <w:marLeft w:val="0"/>
      <w:marRight w:val="0"/>
      <w:marTop w:val="0"/>
      <w:marBottom w:val="0"/>
      <w:divBdr>
        <w:top w:val="none" w:sz="0" w:space="0" w:color="auto"/>
        <w:left w:val="none" w:sz="0" w:space="0" w:color="auto"/>
        <w:bottom w:val="none" w:sz="0" w:space="0" w:color="auto"/>
        <w:right w:val="none" w:sz="0" w:space="0" w:color="auto"/>
      </w:divBdr>
    </w:div>
    <w:div w:id="1258099679">
      <w:bodyDiv w:val="1"/>
      <w:marLeft w:val="0"/>
      <w:marRight w:val="0"/>
      <w:marTop w:val="0"/>
      <w:marBottom w:val="0"/>
      <w:divBdr>
        <w:top w:val="none" w:sz="0" w:space="0" w:color="auto"/>
        <w:left w:val="none" w:sz="0" w:space="0" w:color="auto"/>
        <w:bottom w:val="none" w:sz="0" w:space="0" w:color="auto"/>
        <w:right w:val="none" w:sz="0" w:space="0" w:color="auto"/>
      </w:divBdr>
    </w:div>
    <w:div w:id="1283222675">
      <w:bodyDiv w:val="1"/>
      <w:marLeft w:val="0"/>
      <w:marRight w:val="0"/>
      <w:marTop w:val="0"/>
      <w:marBottom w:val="0"/>
      <w:divBdr>
        <w:top w:val="none" w:sz="0" w:space="0" w:color="auto"/>
        <w:left w:val="none" w:sz="0" w:space="0" w:color="auto"/>
        <w:bottom w:val="none" w:sz="0" w:space="0" w:color="auto"/>
        <w:right w:val="none" w:sz="0" w:space="0" w:color="auto"/>
      </w:divBdr>
    </w:div>
    <w:div w:id="1309045153">
      <w:bodyDiv w:val="1"/>
      <w:marLeft w:val="0"/>
      <w:marRight w:val="0"/>
      <w:marTop w:val="0"/>
      <w:marBottom w:val="0"/>
      <w:divBdr>
        <w:top w:val="none" w:sz="0" w:space="0" w:color="auto"/>
        <w:left w:val="none" w:sz="0" w:space="0" w:color="auto"/>
        <w:bottom w:val="none" w:sz="0" w:space="0" w:color="auto"/>
        <w:right w:val="none" w:sz="0" w:space="0" w:color="auto"/>
      </w:divBdr>
    </w:div>
    <w:div w:id="1315068954">
      <w:bodyDiv w:val="1"/>
      <w:marLeft w:val="0"/>
      <w:marRight w:val="0"/>
      <w:marTop w:val="0"/>
      <w:marBottom w:val="0"/>
      <w:divBdr>
        <w:top w:val="none" w:sz="0" w:space="0" w:color="auto"/>
        <w:left w:val="none" w:sz="0" w:space="0" w:color="auto"/>
        <w:bottom w:val="none" w:sz="0" w:space="0" w:color="auto"/>
        <w:right w:val="none" w:sz="0" w:space="0" w:color="auto"/>
      </w:divBdr>
    </w:div>
    <w:div w:id="1320034527">
      <w:bodyDiv w:val="1"/>
      <w:marLeft w:val="0"/>
      <w:marRight w:val="0"/>
      <w:marTop w:val="0"/>
      <w:marBottom w:val="0"/>
      <w:divBdr>
        <w:top w:val="none" w:sz="0" w:space="0" w:color="auto"/>
        <w:left w:val="none" w:sz="0" w:space="0" w:color="auto"/>
        <w:bottom w:val="none" w:sz="0" w:space="0" w:color="auto"/>
        <w:right w:val="none" w:sz="0" w:space="0" w:color="auto"/>
      </w:divBdr>
    </w:div>
    <w:div w:id="1375739391">
      <w:bodyDiv w:val="1"/>
      <w:marLeft w:val="0"/>
      <w:marRight w:val="0"/>
      <w:marTop w:val="0"/>
      <w:marBottom w:val="0"/>
      <w:divBdr>
        <w:top w:val="none" w:sz="0" w:space="0" w:color="auto"/>
        <w:left w:val="none" w:sz="0" w:space="0" w:color="auto"/>
        <w:bottom w:val="none" w:sz="0" w:space="0" w:color="auto"/>
        <w:right w:val="none" w:sz="0" w:space="0" w:color="auto"/>
      </w:divBdr>
    </w:div>
    <w:div w:id="1387877999">
      <w:bodyDiv w:val="1"/>
      <w:marLeft w:val="0"/>
      <w:marRight w:val="0"/>
      <w:marTop w:val="0"/>
      <w:marBottom w:val="0"/>
      <w:divBdr>
        <w:top w:val="none" w:sz="0" w:space="0" w:color="auto"/>
        <w:left w:val="none" w:sz="0" w:space="0" w:color="auto"/>
        <w:bottom w:val="none" w:sz="0" w:space="0" w:color="auto"/>
        <w:right w:val="none" w:sz="0" w:space="0" w:color="auto"/>
      </w:divBdr>
    </w:div>
    <w:div w:id="1391343154">
      <w:bodyDiv w:val="1"/>
      <w:marLeft w:val="0"/>
      <w:marRight w:val="0"/>
      <w:marTop w:val="0"/>
      <w:marBottom w:val="0"/>
      <w:divBdr>
        <w:top w:val="none" w:sz="0" w:space="0" w:color="auto"/>
        <w:left w:val="none" w:sz="0" w:space="0" w:color="auto"/>
        <w:bottom w:val="none" w:sz="0" w:space="0" w:color="auto"/>
        <w:right w:val="none" w:sz="0" w:space="0" w:color="auto"/>
      </w:divBdr>
    </w:div>
    <w:div w:id="1395662524">
      <w:bodyDiv w:val="1"/>
      <w:marLeft w:val="0"/>
      <w:marRight w:val="0"/>
      <w:marTop w:val="0"/>
      <w:marBottom w:val="0"/>
      <w:divBdr>
        <w:top w:val="none" w:sz="0" w:space="0" w:color="auto"/>
        <w:left w:val="none" w:sz="0" w:space="0" w:color="auto"/>
        <w:bottom w:val="none" w:sz="0" w:space="0" w:color="auto"/>
        <w:right w:val="none" w:sz="0" w:space="0" w:color="auto"/>
      </w:divBdr>
    </w:div>
    <w:div w:id="1411196487">
      <w:bodyDiv w:val="1"/>
      <w:marLeft w:val="0"/>
      <w:marRight w:val="0"/>
      <w:marTop w:val="0"/>
      <w:marBottom w:val="0"/>
      <w:divBdr>
        <w:top w:val="none" w:sz="0" w:space="0" w:color="auto"/>
        <w:left w:val="none" w:sz="0" w:space="0" w:color="auto"/>
        <w:bottom w:val="none" w:sz="0" w:space="0" w:color="auto"/>
        <w:right w:val="none" w:sz="0" w:space="0" w:color="auto"/>
      </w:divBdr>
    </w:div>
    <w:div w:id="1412580458">
      <w:bodyDiv w:val="1"/>
      <w:marLeft w:val="0"/>
      <w:marRight w:val="0"/>
      <w:marTop w:val="0"/>
      <w:marBottom w:val="0"/>
      <w:divBdr>
        <w:top w:val="none" w:sz="0" w:space="0" w:color="auto"/>
        <w:left w:val="none" w:sz="0" w:space="0" w:color="auto"/>
        <w:bottom w:val="none" w:sz="0" w:space="0" w:color="auto"/>
        <w:right w:val="none" w:sz="0" w:space="0" w:color="auto"/>
      </w:divBdr>
    </w:div>
    <w:div w:id="1420175540">
      <w:bodyDiv w:val="1"/>
      <w:marLeft w:val="0"/>
      <w:marRight w:val="0"/>
      <w:marTop w:val="0"/>
      <w:marBottom w:val="0"/>
      <w:divBdr>
        <w:top w:val="none" w:sz="0" w:space="0" w:color="auto"/>
        <w:left w:val="none" w:sz="0" w:space="0" w:color="auto"/>
        <w:bottom w:val="none" w:sz="0" w:space="0" w:color="auto"/>
        <w:right w:val="none" w:sz="0" w:space="0" w:color="auto"/>
      </w:divBdr>
    </w:div>
    <w:div w:id="1430078394">
      <w:bodyDiv w:val="1"/>
      <w:marLeft w:val="0"/>
      <w:marRight w:val="0"/>
      <w:marTop w:val="0"/>
      <w:marBottom w:val="0"/>
      <w:divBdr>
        <w:top w:val="none" w:sz="0" w:space="0" w:color="auto"/>
        <w:left w:val="none" w:sz="0" w:space="0" w:color="auto"/>
        <w:bottom w:val="none" w:sz="0" w:space="0" w:color="auto"/>
        <w:right w:val="none" w:sz="0" w:space="0" w:color="auto"/>
      </w:divBdr>
    </w:div>
    <w:div w:id="1490291536">
      <w:bodyDiv w:val="1"/>
      <w:marLeft w:val="0"/>
      <w:marRight w:val="0"/>
      <w:marTop w:val="0"/>
      <w:marBottom w:val="0"/>
      <w:divBdr>
        <w:top w:val="none" w:sz="0" w:space="0" w:color="auto"/>
        <w:left w:val="none" w:sz="0" w:space="0" w:color="auto"/>
        <w:bottom w:val="none" w:sz="0" w:space="0" w:color="auto"/>
        <w:right w:val="none" w:sz="0" w:space="0" w:color="auto"/>
      </w:divBdr>
    </w:div>
    <w:div w:id="1518152153">
      <w:bodyDiv w:val="1"/>
      <w:marLeft w:val="0"/>
      <w:marRight w:val="0"/>
      <w:marTop w:val="0"/>
      <w:marBottom w:val="0"/>
      <w:divBdr>
        <w:top w:val="none" w:sz="0" w:space="0" w:color="auto"/>
        <w:left w:val="none" w:sz="0" w:space="0" w:color="auto"/>
        <w:bottom w:val="none" w:sz="0" w:space="0" w:color="auto"/>
        <w:right w:val="none" w:sz="0" w:space="0" w:color="auto"/>
      </w:divBdr>
    </w:div>
    <w:div w:id="1539899703">
      <w:bodyDiv w:val="1"/>
      <w:marLeft w:val="0"/>
      <w:marRight w:val="0"/>
      <w:marTop w:val="0"/>
      <w:marBottom w:val="0"/>
      <w:divBdr>
        <w:top w:val="none" w:sz="0" w:space="0" w:color="auto"/>
        <w:left w:val="none" w:sz="0" w:space="0" w:color="auto"/>
        <w:bottom w:val="none" w:sz="0" w:space="0" w:color="auto"/>
        <w:right w:val="none" w:sz="0" w:space="0" w:color="auto"/>
      </w:divBdr>
    </w:div>
    <w:div w:id="1567884158">
      <w:bodyDiv w:val="1"/>
      <w:marLeft w:val="0"/>
      <w:marRight w:val="0"/>
      <w:marTop w:val="0"/>
      <w:marBottom w:val="0"/>
      <w:divBdr>
        <w:top w:val="none" w:sz="0" w:space="0" w:color="auto"/>
        <w:left w:val="none" w:sz="0" w:space="0" w:color="auto"/>
        <w:bottom w:val="none" w:sz="0" w:space="0" w:color="auto"/>
        <w:right w:val="none" w:sz="0" w:space="0" w:color="auto"/>
      </w:divBdr>
    </w:div>
    <w:div w:id="1579050808">
      <w:bodyDiv w:val="1"/>
      <w:marLeft w:val="0"/>
      <w:marRight w:val="0"/>
      <w:marTop w:val="0"/>
      <w:marBottom w:val="0"/>
      <w:divBdr>
        <w:top w:val="none" w:sz="0" w:space="0" w:color="auto"/>
        <w:left w:val="none" w:sz="0" w:space="0" w:color="auto"/>
        <w:bottom w:val="none" w:sz="0" w:space="0" w:color="auto"/>
        <w:right w:val="none" w:sz="0" w:space="0" w:color="auto"/>
      </w:divBdr>
    </w:div>
    <w:div w:id="1582326737">
      <w:bodyDiv w:val="1"/>
      <w:marLeft w:val="0"/>
      <w:marRight w:val="0"/>
      <w:marTop w:val="0"/>
      <w:marBottom w:val="0"/>
      <w:divBdr>
        <w:top w:val="none" w:sz="0" w:space="0" w:color="auto"/>
        <w:left w:val="none" w:sz="0" w:space="0" w:color="auto"/>
        <w:bottom w:val="none" w:sz="0" w:space="0" w:color="auto"/>
        <w:right w:val="none" w:sz="0" w:space="0" w:color="auto"/>
      </w:divBdr>
    </w:div>
    <w:div w:id="1588612574">
      <w:bodyDiv w:val="1"/>
      <w:marLeft w:val="0"/>
      <w:marRight w:val="0"/>
      <w:marTop w:val="0"/>
      <w:marBottom w:val="0"/>
      <w:divBdr>
        <w:top w:val="none" w:sz="0" w:space="0" w:color="auto"/>
        <w:left w:val="none" w:sz="0" w:space="0" w:color="auto"/>
        <w:bottom w:val="none" w:sz="0" w:space="0" w:color="auto"/>
        <w:right w:val="none" w:sz="0" w:space="0" w:color="auto"/>
      </w:divBdr>
    </w:div>
    <w:div w:id="1607275759">
      <w:bodyDiv w:val="1"/>
      <w:marLeft w:val="0"/>
      <w:marRight w:val="0"/>
      <w:marTop w:val="0"/>
      <w:marBottom w:val="0"/>
      <w:divBdr>
        <w:top w:val="none" w:sz="0" w:space="0" w:color="auto"/>
        <w:left w:val="none" w:sz="0" w:space="0" w:color="auto"/>
        <w:bottom w:val="none" w:sz="0" w:space="0" w:color="auto"/>
        <w:right w:val="none" w:sz="0" w:space="0" w:color="auto"/>
      </w:divBdr>
    </w:div>
    <w:div w:id="1663393371">
      <w:bodyDiv w:val="1"/>
      <w:marLeft w:val="0"/>
      <w:marRight w:val="0"/>
      <w:marTop w:val="0"/>
      <w:marBottom w:val="0"/>
      <w:divBdr>
        <w:top w:val="none" w:sz="0" w:space="0" w:color="auto"/>
        <w:left w:val="none" w:sz="0" w:space="0" w:color="auto"/>
        <w:bottom w:val="none" w:sz="0" w:space="0" w:color="auto"/>
        <w:right w:val="none" w:sz="0" w:space="0" w:color="auto"/>
      </w:divBdr>
    </w:div>
    <w:div w:id="1666781203">
      <w:bodyDiv w:val="1"/>
      <w:marLeft w:val="0"/>
      <w:marRight w:val="0"/>
      <w:marTop w:val="0"/>
      <w:marBottom w:val="0"/>
      <w:divBdr>
        <w:top w:val="none" w:sz="0" w:space="0" w:color="auto"/>
        <w:left w:val="none" w:sz="0" w:space="0" w:color="auto"/>
        <w:bottom w:val="none" w:sz="0" w:space="0" w:color="auto"/>
        <w:right w:val="none" w:sz="0" w:space="0" w:color="auto"/>
      </w:divBdr>
    </w:div>
    <w:div w:id="1690326242">
      <w:bodyDiv w:val="1"/>
      <w:marLeft w:val="0"/>
      <w:marRight w:val="0"/>
      <w:marTop w:val="0"/>
      <w:marBottom w:val="0"/>
      <w:divBdr>
        <w:top w:val="none" w:sz="0" w:space="0" w:color="auto"/>
        <w:left w:val="none" w:sz="0" w:space="0" w:color="auto"/>
        <w:bottom w:val="none" w:sz="0" w:space="0" w:color="auto"/>
        <w:right w:val="none" w:sz="0" w:space="0" w:color="auto"/>
      </w:divBdr>
    </w:div>
    <w:div w:id="1690835051">
      <w:bodyDiv w:val="1"/>
      <w:marLeft w:val="0"/>
      <w:marRight w:val="0"/>
      <w:marTop w:val="0"/>
      <w:marBottom w:val="0"/>
      <w:divBdr>
        <w:top w:val="none" w:sz="0" w:space="0" w:color="auto"/>
        <w:left w:val="none" w:sz="0" w:space="0" w:color="auto"/>
        <w:bottom w:val="none" w:sz="0" w:space="0" w:color="auto"/>
        <w:right w:val="none" w:sz="0" w:space="0" w:color="auto"/>
      </w:divBdr>
    </w:div>
    <w:div w:id="1699626518">
      <w:bodyDiv w:val="1"/>
      <w:marLeft w:val="0"/>
      <w:marRight w:val="0"/>
      <w:marTop w:val="0"/>
      <w:marBottom w:val="0"/>
      <w:divBdr>
        <w:top w:val="none" w:sz="0" w:space="0" w:color="auto"/>
        <w:left w:val="none" w:sz="0" w:space="0" w:color="auto"/>
        <w:bottom w:val="none" w:sz="0" w:space="0" w:color="auto"/>
        <w:right w:val="none" w:sz="0" w:space="0" w:color="auto"/>
      </w:divBdr>
    </w:div>
    <w:div w:id="1764103389">
      <w:bodyDiv w:val="1"/>
      <w:marLeft w:val="0"/>
      <w:marRight w:val="0"/>
      <w:marTop w:val="0"/>
      <w:marBottom w:val="0"/>
      <w:divBdr>
        <w:top w:val="none" w:sz="0" w:space="0" w:color="auto"/>
        <w:left w:val="none" w:sz="0" w:space="0" w:color="auto"/>
        <w:bottom w:val="none" w:sz="0" w:space="0" w:color="auto"/>
        <w:right w:val="none" w:sz="0" w:space="0" w:color="auto"/>
      </w:divBdr>
    </w:div>
    <w:div w:id="1778787401">
      <w:bodyDiv w:val="1"/>
      <w:marLeft w:val="0"/>
      <w:marRight w:val="0"/>
      <w:marTop w:val="0"/>
      <w:marBottom w:val="0"/>
      <w:divBdr>
        <w:top w:val="none" w:sz="0" w:space="0" w:color="auto"/>
        <w:left w:val="none" w:sz="0" w:space="0" w:color="auto"/>
        <w:bottom w:val="none" w:sz="0" w:space="0" w:color="auto"/>
        <w:right w:val="none" w:sz="0" w:space="0" w:color="auto"/>
      </w:divBdr>
    </w:div>
    <w:div w:id="1782719528">
      <w:bodyDiv w:val="1"/>
      <w:marLeft w:val="0"/>
      <w:marRight w:val="0"/>
      <w:marTop w:val="0"/>
      <w:marBottom w:val="0"/>
      <w:divBdr>
        <w:top w:val="none" w:sz="0" w:space="0" w:color="auto"/>
        <w:left w:val="none" w:sz="0" w:space="0" w:color="auto"/>
        <w:bottom w:val="none" w:sz="0" w:space="0" w:color="auto"/>
        <w:right w:val="none" w:sz="0" w:space="0" w:color="auto"/>
      </w:divBdr>
    </w:div>
    <w:div w:id="1786462811">
      <w:bodyDiv w:val="1"/>
      <w:marLeft w:val="0"/>
      <w:marRight w:val="0"/>
      <w:marTop w:val="0"/>
      <w:marBottom w:val="0"/>
      <w:divBdr>
        <w:top w:val="none" w:sz="0" w:space="0" w:color="auto"/>
        <w:left w:val="none" w:sz="0" w:space="0" w:color="auto"/>
        <w:bottom w:val="none" w:sz="0" w:space="0" w:color="auto"/>
        <w:right w:val="none" w:sz="0" w:space="0" w:color="auto"/>
      </w:divBdr>
    </w:div>
    <w:div w:id="1794473229">
      <w:bodyDiv w:val="1"/>
      <w:marLeft w:val="0"/>
      <w:marRight w:val="0"/>
      <w:marTop w:val="0"/>
      <w:marBottom w:val="0"/>
      <w:divBdr>
        <w:top w:val="none" w:sz="0" w:space="0" w:color="auto"/>
        <w:left w:val="none" w:sz="0" w:space="0" w:color="auto"/>
        <w:bottom w:val="none" w:sz="0" w:space="0" w:color="auto"/>
        <w:right w:val="none" w:sz="0" w:space="0" w:color="auto"/>
      </w:divBdr>
    </w:div>
    <w:div w:id="1818451158">
      <w:bodyDiv w:val="1"/>
      <w:marLeft w:val="0"/>
      <w:marRight w:val="0"/>
      <w:marTop w:val="0"/>
      <w:marBottom w:val="0"/>
      <w:divBdr>
        <w:top w:val="none" w:sz="0" w:space="0" w:color="auto"/>
        <w:left w:val="none" w:sz="0" w:space="0" w:color="auto"/>
        <w:bottom w:val="none" w:sz="0" w:space="0" w:color="auto"/>
        <w:right w:val="none" w:sz="0" w:space="0" w:color="auto"/>
      </w:divBdr>
    </w:div>
    <w:div w:id="1846287525">
      <w:bodyDiv w:val="1"/>
      <w:marLeft w:val="0"/>
      <w:marRight w:val="0"/>
      <w:marTop w:val="0"/>
      <w:marBottom w:val="0"/>
      <w:divBdr>
        <w:top w:val="none" w:sz="0" w:space="0" w:color="auto"/>
        <w:left w:val="none" w:sz="0" w:space="0" w:color="auto"/>
        <w:bottom w:val="none" w:sz="0" w:space="0" w:color="auto"/>
        <w:right w:val="none" w:sz="0" w:space="0" w:color="auto"/>
      </w:divBdr>
    </w:div>
    <w:div w:id="1903297057">
      <w:bodyDiv w:val="1"/>
      <w:marLeft w:val="0"/>
      <w:marRight w:val="0"/>
      <w:marTop w:val="0"/>
      <w:marBottom w:val="0"/>
      <w:divBdr>
        <w:top w:val="none" w:sz="0" w:space="0" w:color="auto"/>
        <w:left w:val="none" w:sz="0" w:space="0" w:color="auto"/>
        <w:bottom w:val="none" w:sz="0" w:space="0" w:color="auto"/>
        <w:right w:val="none" w:sz="0" w:space="0" w:color="auto"/>
      </w:divBdr>
    </w:div>
    <w:div w:id="1907759568">
      <w:bodyDiv w:val="1"/>
      <w:marLeft w:val="0"/>
      <w:marRight w:val="0"/>
      <w:marTop w:val="0"/>
      <w:marBottom w:val="0"/>
      <w:divBdr>
        <w:top w:val="none" w:sz="0" w:space="0" w:color="auto"/>
        <w:left w:val="none" w:sz="0" w:space="0" w:color="auto"/>
        <w:bottom w:val="none" w:sz="0" w:space="0" w:color="auto"/>
        <w:right w:val="none" w:sz="0" w:space="0" w:color="auto"/>
      </w:divBdr>
    </w:div>
    <w:div w:id="1907762910">
      <w:bodyDiv w:val="1"/>
      <w:marLeft w:val="0"/>
      <w:marRight w:val="0"/>
      <w:marTop w:val="0"/>
      <w:marBottom w:val="0"/>
      <w:divBdr>
        <w:top w:val="none" w:sz="0" w:space="0" w:color="auto"/>
        <w:left w:val="none" w:sz="0" w:space="0" w:color="auto"/>
        <w:bottom w:val="none" w:sz="0" w:space="0" w:color="auto"/>
        <w:right w:val="none" w:sz="0" w:space="0" w:color="auto"/>
      </w:divBdr>
    </w:div>
    <w:div w:id="1911229009">
      <w:bodyDiv w:val="1"/>
      <w:marLeft w:val="0"/>
      <w:marRight w:val="0"/>
      <w:marTop w:val="0"/>
      <w:marBottom w:val="0"/>
      <w:divBdr>
        <w:top w:val="none" w:sz="0" w:space="0" w:color="auto"/>
        <w:left w:val="none" w:sz="0" w:space="0" w:color="auto"/>
        <w:bottom w:val="none" w:sz="0" w:space="0" w:color="auto"/>
        <w:right w:val="none" w:sz="0" w:space="0" w:color="auto"/>
      </w:divBdr>
    </w:div>
    <w:div w:id="1920095089">
      <w:bodyDiv w:val="1"/>
      <w:marLeft w:val="0"/>
      <w:marRight w:val="0"/>
      <w:marTop w:val="0"/>
      <w:marBottom w:val="0"/>
      <w:divBdr>
        <w:top w:val="none" w:sz="0" w:space="0" w:color="auto"/>
        <w:left w:val="none" w:sz="0" w:space="0" w:color="auto"/>
        <w:bottom w:val="none" w:sz="0" w:space="0" w:color="auto"/>
        <w:right w:val="none" w:sz="0" w:space="0" w:color="auto"/>
      </w:divBdr>
    </w:div>
    <w:div w:id="1922063748">
      <w:bodyDiv w:val="1"/>
      <w:marLeft w:val="0"/>
      <w:marRight w:val="0"/>
      <w:marTop w:val="0"/>
      <w:marBottom w:val="0"/>
      <w:divBdr>
        <w:top w:val="none" w:sz="0" w:space="0" w:color="auto"/>
        <w:left w:val="none" w:sz="0" w:space="0" w:color="auto"/>
        <w:bottom w:val="none" w:sz="0" w:space="0" w:color="auto"/>
        <w:right w:val="none" w:sz="0" w:space="0" w:color="auto"/>
      </w:divBdr>
    </w:div>
    <w:div w:id="1934048354">
      <w:bodyDiv w:val="1"/>
      <w:marLeft w:val="0"/>
      <w:marRight w:val="0"/>
      <w:marTop w:val="0"/>
      <w:marBottom w:val="0"/>
      <w:divBdr>
        <w:top w:val="none" w:sz="0" w:space="0" w:color="auto"/>
        <w:left w:val="none" w:sz="0" w:space="0" w:color="auto"/>
        <w:bottom w:val="none" w:sz="0" w:space="0" w:color="auto"/>
        <w:right w:val="none" w:sz="0" w:space="0" w:color="auto"/>
      </w:divBdr>
    </w:div>
    <w:div w:id="1953397660">
      <w:bodyDiv w:val="1"/>
      <w:marLeft w:val="0"/>
      <w:marRight w:val="0"/>
      <w:marTop w:val="0"/>
      <w:marBottom w:val="0"/>
      <w:divBdr>
        <w:top w:val="none" w:sz="0" w:space="0" w:color="auto"/>
        <w:left w:val="none" w:sz="0" w:space="0" w:color="auto"/>
        <w:bottom w:val="none" w:sz="0" w:space="0" w:color="auto"/>
        <w:right w:val="none" w:sz="0" w:space="0" w:color="auto"/>
      </w:divBdr>
    </w:div>
    <w:div w:id="1991326177">
      <w:bodyDiv w:val="1"/>
      <w:marLeft w:val="0"/>
      <w:marRight w:val="0"/>
      <w:marTop w:val="0"/>
      <w:marBottom w:val="0"/>
      <w:divBdr>
        <w:top w:val="none" w:sz="0" w:space="0" w:color="auto"/>
        <w:left w:val="none" w:sz="0" w:space="0" w:color="auto"/>
        <w:bottom w:val="none" w:sz="0" w:space="0" w:color="auto"/>
        <w:right w:val="none" w:sz="0" w:space="0" w:color="auto"/>
      </w:divBdr>
    </w:div>
    <w:div w:id="2001078527">
      <w:bodyDiv w:val="1"/>
      <w:marLeft w:val="0"/>
      <w:marRight w:val="0"/>
      <w:marTop w:val="0"/>
      <w:marBottom w:val="0"/>
      <w:divBdr>
        <w:top w:val="none" w:sz="0" w:space="0" w:color="auto"/>
        <w:left w:val="none" w:sz="0" w:space="0" w:color="auto"/>
        <w:bottom w:val="none" w:sz="0" w:space="0" w:color="auto"/>
        <w:right w:val="none" w:sz="0" w:space="0" w:color="auto"/>
      </w:divBdr>
    </w:div>
    <w:div w:id="2003770982">
      <w:bodyDiv w:val="1"/>
      <w:marLeft w:val="0"/>
      <w:marRight w:val="0"/>
      <w:marTop w:val="0"/>
      <w:marBottom w:val="0"/>
      <w:divBdr>
        <w:top w:val="none" w:sz="0" w:space="0" w:color="auto"/>
        <w:left w:val="none" w:sz="0" w:space="0" w:color="auto"/>
        <w:bottom w:val="none" w:sz="0" w:space="0" w:color="auto"/>
        <w:right w:val="none" w:sz="0" w:space="0" w:color="auto"/>
      </w:divBdr>
    </w:div>
    <w:div w:id="2081832043">
      <w:bodyDiv w:val="1"/>
      <w:marLeft w:val="0"/>
      <w:marRight w:val="0"/>
      <w:marTop w:val="0"/>
      <w:marBottom w:val="0"/>
      <w:divBdr>
        <w:top w:val="none" w:sz="0" w:space="0" w:color="auto"/>
        <w:left w:val="none" w:sz="0" w:space="0" w:color="auto"/>
        <w:bottom w:val="none" w:sz="0" w:space="0" w:color="auto"/>
        <w:right w:val="none" w:sz="0" w:space="0" w:color="auto"/>
      </w:divBdr>
    </w:div>
    <w:div w:id="2088764170">
      <w:bodyDiv w:val="1"/>
      <w:marLeft w:val="0"/>
      <w:marRight w:val="0"/>
      <w:marTop w:val="0"/>
      <w:marBottom w:val="0"/>
      <w:divBdr>
        <w:top w:val="none" w:sz="0" w:space="0" w:color="auto"/>
        <w:left w:val="none" w:sz="0" w:space="0" w:color="auto"/>
        <w:bottom w:val="none" w:sz="0" w:space="0" w:color="auto"/>
        <w:right w:val="none" w:sz="0" w:space="0" w:color="auto"/>
      </w:divBdr>
    </w:div>
    <w:div w:id="2110855761">
      <w:bodyDiv w:val="1"/>
      <w:marLeft w:val="0"/>
      <w:marRight w:val="0"/>
      <w:marTop w:val="0"/>
      <w:marBottom w:val="0"/>
      <w:divBdr>
        <w:top w:val="none" w:sz="0" w:space="0" w:color="auto"/>
        <w:left w:val="none" w:sz="0" w:space="0" w:color="auto"/>
        <w:bottom w:val="none" w:sz="0" w:space="0" w:color="auto"/>
        <w:right w:val="none" w:sz="0" w:space="0" w:color="auto"/>
      </w:divBdr>
    </w:div>
    <w:div w:id="2111002741">
      <w:bodyDiv w:val="1"/>
      <w:marLeft w:val="0"/>
      <w:marRight w:val="0"/>
      <w:marTop w:val="0"/>
      <w:marBottom w:val="0"/>
      <w:divBdr>
        <w:top w:val="none" w:sz="0" w:space="0" w:color="auto"/>
        <w:left w:val="none" w:sz="0" w:space="0" w:color="auto"/>
        <w:bottom w:val="none" w:sz="0" w:space="0" w:color="auto"/>
        <w:right w:val="none" w:sz="0" w:space="0" w:color="auto"/>
      </w:divBdr>
    </w:div>
    <w:div w:id="2142502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D84D1-4699-45D7-9C13-59AE3C98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199</Pages>
  <Words>20275</Words>
  <Characters>115572</Characters>
  <Application>Microsoft Office Word</Application>
  <DocSecurity>0</DocSecurity>
  <Lines>963</Lines>
  <Paragraphs>271</Paragraphs>
  <ScaleCrop>false</ScaleCrop>
  <Company/>
  <LinksUpToDate>false</LinksUpToDate>
  <CharactersWithSpaces>135576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许志用</cp:lastModifiedBy>
  <cp:revision>49</cp:revision>
  <dcterms:created xsi:type="dcterms:W3CDTF">2023-04-17T06:14:00Z</dcterms:created>
  <dcterms:modified xsi:type="dcterms:W3CDTF">2023-04-24T02:31:00Z</dcterms:modified>
</cp:coreProperties>
</file>